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A3C17" w14:textId="77777777" w:rsidR="00C035A5" w:rsidRPr="002D468A" w:rsidRDefault="00C035A5" w:rsidP="00C035A5">
      <w:pPr>
        <w:jc w:val="right"/>
        <w:rPr>
          <w:color w:val="000000" w:themeColor="text1"/>
          <w:lang w:val="ro-MD"/>
        </w:rPr>
      </w:pPr>
    </w:p>
    <w:p w14:paraId="19170388" w14:textId="508F0C70" w:rsidR="00C035A5" w:rsidRPr="002D468A" w:rsidRDefault="00C035A5" w:rsidP="00C035A5">
      <w:pPr>
        <w:jc w:val="center"/>
        <w:rPr>
          <w:b/>
          <w:color w:val="000000" w:themeColor="text1"/>
          <w:lang w:val="ro-MD"/>
        </w:rPr>
      </w:pPr>
      <w:r w:rsidRPr="002D468A">
        <w:rPr>
          <w:b/>
          <w:color w:val="000000" w:themeColor="text1"/>
          <w:lang w:val="ro-MD"/>
        </w:rPr>
        <w:t>B</w:t>
      </w:r>
      <w:r w:rsidR="00A0385C">
        <w:rPr>
          <w:b/>
          <w:color w:val="000000" w:themeColor="text1"/>
          <w:lang w:val="ro-MD"/>
        </w:rPr>
        <w:t>A</w:t>
      </w:r>
      <w:r w:rsidRPr="002D468A">
        <w:rPr>
          <w:b/>
          <w:color w:val="000000" w:themeColor="text1"/>
          <w:lang w:val="ro-MD"/>
        </w:rPr>
        <w:t>NC</w:t>
      </w:r>
      <w:r w:rsidR="00A0385C">
        <w:rPr>
          <w:b/>
          <w:color w:val="000000" w:themeColor="text1"/>
          <w:lang w:val="ro-MD"/>
        </w:rPr>
        <w:t>A</w:t>
      </w:r>
      <w:r w:rsidRPr="002D468A">
        <w:rPr>
          <w:b/>
          <w:color w:val="000000" w:themeColor="text1"/>
          <w:lang w:val="ro-MD"/>
        </w:rPr>
        <w:t xml:space="preserve"> NAȚIONAL</w:t>
      </w:r>
      <w:r w:rsidR="00A0385C">
        <w:rPr>
          <w:b/>
          <w:color w:val="000000" w:themeColor="text1"/>
          <w:lang w:val="ro-RO"/>
        </w:rPr>
        <w:t>Ă</w:t>
      </w:r>
      <w:r w:rsidRPr="002D468A">
        <w:rPr>
          <w:b/>
          <w:color w:val="000000" w:themeColor="text1"/>
          <w:lang w:val="ro-MD"/>
        </w:rPr>
        <w:t xml:space="preserve"> A MOLDOVEI</w:t>
      </w:r>
    </w:p>
    <w:p w14:paraId="22EF31A7" w14:textId="77777777" w:rsidR="00C035A5" w:rsidRPr="002D468A" w:rsidRDefault="00C035A5" w:rsidP="00C035A5">
      <w:pPr>
        <w:jc w:val="center"/>
        <w:rPr>
          <w:b/>
          <w:color w:val="000000" w:themeColor="text1"/>
          <w:lang w:val="ro-MD"/>
        </w:rPr>
      </w:pPr>
    </w:p>
    <w:p w14:paraId="4D50A4D1" w14:textId="77777777" w:rsidR="00C035A5" w:rsidRPr="002D468A" w:rsidRDefault="00C035A5" w:rsidP="00C035A5">
      <w:pPr>
        <w:jc w:val="center"/>
        <w:rPr>
          <w:b/>
          <w:color w:val="000000" w:themeColor="text1"/>
          <w:lang w:val="ro-MD"/>
        </w:rPr>
      </w:pPr>
    </w:p>
    <w:p w14:paraId="205BC6A1" w14:textId="2BA46CA3" w:rsidR="00C035A5" w:rsidRPr="002D468A" w:rsidRDefault="00C035A5" w:rsidP="00A0385C">
      <w:pPr>
        <w:jc w:val="center"/>
        <w:rPr>
          <w:b/>
          <w:color w:val="000000" w:themeColor="text1"/>
          <w:lang w:val="ro-MD"/>
        </w:rPr>
      </w:pPr>
      <w:r w:rsidRPr="002D468A">
        <w:rPr>
          <w:b/>
          <w:color w:val="000000" w:themeColor="text1"/>
          <w:lang w:val="ro-MD"/>
        </w:rPr>
        <w:t xml:space="preserve">HOTĂRÂRE </w:t>
      </w:r>
    </w:p>
    <w:p w14:paraId="7BDFD79D" w14:textId="77777777" w:rsidR="00C035A5" w:rsidRPr="002D468A" w:rsidRDefault="00C035A5" w:rsidP="00C035A5">
      <w:pPr>
        <w:jc w:val="center"/>
        <w:rPr>
          <w:b/>
          <w:color w:val="000000" w:themeColor="text1"/>
          <w:lang w:val="ro-MD"/>
        </w:rPr>
      </w:pPr>
    </w:p>
    <w:p w14:paraId="555FAD07" w14:textId="3B9F65C4" w:rsidR="00C035A5" w:rsidRDefault="00A0385C" w:rsidP="00360518">
      <w:pPr>
        <w:jc w:val="center"/>
        <w:rPr>
          <w:b/>
          <w:color w:val="000000" w:themeColor="text1"/>
          <w:lang w:val="ro-MD"/>
        </w:rPr>
      </w:pPr>
      <w:bookmarkStart w:id="0" w:name="_Hlk163722222"/>
      <w:r>
        <w:rPr>
          <w:b/>
          <w:color w:val="000000" w:themeColor="text1"/>
          <w:lang w:val="ro-MD"/>
        </w:rPr>
        <w:t>p</w:t>
      </w:r>
      <w:r w:rsidR="00C035A5" w:rsidRPr="002D468A">
        <w:rPr>
          <w:b/>
          <w:color w:val="000000" w:themeColor="text1"/>
          <w:lang w:val="ro-MD"/>
        </w:rPr>
        <w:t xml:space="preserve">entru modificarea </w:t>
      </w:r>
      <w:r w:rsidR="00146EA1" w:rsidRPr="002D468A">
        <w:rPr>
          <w:b/>
          <w:color w:val="000000" w:themeColor="text1"/>
          <w:lang w:val="ro-MD"/>
        </w:rPr>
        <w:t>Hotărârii Comitetului executiv al Băncii Naționale a Moldovei nr.11</w:t>
      </w:r>
      <w:r w:rsidR="00360518" w:rsidRPr="002D468A">
        <w:rPr>
          <w:b/>
          <w:color w:val="000000" w:themeColor="text1"/>
          <w:lang w:val="ro-MD"/>
        </w:rPr>
        <w:t>2</w:t>
      </w:r>
      <w:r w:rsidR="00146EA1" w:rsidRPr="002D468A">
        <w:rPr>
          <w:b/>
          <w:color w:val="000000" w:themeColor="text1"/>
          <w:lang w:val="ro-MD"/>
        </w:rPr>
        <w:t xml:space="preserve">/2018 cu privire la aprobarea </w:t>
      </w:r>
      <w:r w:rsidR="00C035A5" w:rsidRPr="002D468A">
        <w:rPr>
          <w:b/>
          <w:color w:val="000000" w:themeColor="text1"/>
          <w:lang w:val="ro-MD"/>
        </w:rPr>
        <w:t xml:space="preserve">Regulamentului </w:t>
      </w:r>
      <w:r w:rsidR="00AF3773" w:rsidRPr="002D468A">
        <w:rPr>
          <w:b/>
          <w:color w:val="000000" w:themeColor="text1"/>
          <w:lang w:val="ro-MD"/>
        </w:rPr>
        <w:t xml:space="preserve">cu </w:t>
      </w:r>
      <w:r w:rsidR="00360518" w:rsidRPr="002D468A">
        <w:rPr>
          <w:b/>
          <w:color w:val="000000" w:themeColor="text1"/>
          <w:lang w:val="ro-MD"/>
        </w:rPr>
        <w:t>privire la tehnicile de diminuare a riscului de credit utilizate de bănci</w:t>
      </w:r>
    </w:p>
    <w:p w14:paraId="2CD3E374" w14:textId="77777777" w:rsidR="00C4642C" w:rsidRPr="002D468A" w:rsidRDefault="00C4642C" w:rsidP="00360518">
      <w:pPr>
        <w:jc w:val="center"/>
        <w:rPr>
          <w:b/>
          <w:color w:val="000000" w:themeColor="text1"/>
          <w:lang w:val="ro-MD"/>
        </w:rPr>
      </w:pPr>
    </w:p>
    <w:bookmarkEnd w:id="0"/>
    <w:p w14:paraId="527DBD48" w14:textId="16DDB616" w:rsidR="00C035A5" w:rsidRDefault="00A0385C" w:rsidP="00C035A5">
      <w:pPr>
        <w:jc w:val="center"/>
        <w:rPr>
          <w:b/>
          <w:color w:val="000000" w:themeColor="text1"/>
          <w:lang w:val="ro-MD"/>
        </w:rPr>
      </w:pPr>
      <w:r>
        <w:rPr>
          <w:b/>
          <w:color w:val="000000" w:themeColor="text1"/>
          <w:lang w:val="ro-MD"/>
        </w:rPr>
        <w:t>nr.</w:t>
      </w:r>
      <w:r w:rsidR="006453CB">
        <w:rPr>
          <w:b/>
          <w:color w:val="000000" w:themeColor="text1"/>
          <w:lang w:val="ro-MD"/>
        </w:rPr>
        <w:t xml:space="preserve"> 143 din 17</w:t>
      </w:r>
      <w:r w:rsidR="0058212E">
        <w:rPr>
          <w:b/>
          <w:color w:val="000000" w:themeColor="text1"/>
          <w:lang w:val="ro-MD"/>
        </w:rPr>
        <w:t>.06.</w:t>
      </w:r>
      <w:r w:rsidR="006453CB">
        <w:rPr>
          <w:b/>
          <w:color w:val="000000" w:themeColor="text1"/>
          <w:lang w:val="ro-MD"/>
        </w:rPr>
        <w:t>2026</w:t>
      </w:r>
    </w:p>
    <w:p w14:paraId="04E00CEB" w14:textId="6F9DEA4E" w:rsidR="00416925" w:rsidRDefault="00416925" w:rsidP="00C035A5">
      <w:pPr>
        <w:jc w:val="center"/>
        <w:rPr>
          <w:bCs/>
          <w:i/>
          <w:iCs/>
          <w:color w:val="000000" w:themeColor="text1"/>
          <w:lang w:val="ro-MD"/>
        </w:rPr>
      </w:pPr>
      <w:r w:rsidRPr="00416925">
        <w:rPr>
          <w:bCs/>
          <w:i/>
          <w:iCs/>
          <w:color w:val="000000" w:themeColor="text1"/>
          <w:lang w:val="ro-MD"/>
        </w:rPr>
        <w:t>(</w:t>
      </w:r>
      <w:r>
        <w:rPr>
          <w:bCs/>
          <w:i/>
          <w:iCs/>
          <w:color w:val="000000" w:themeColor="text1"/>
          <w:lang w:val="ro-MD"/>
        </w:rPr>
        <w:t>în vigoare 01.07.2027, cu excepția unor prevederi prevăzute în pct.2)</w:t>
      </w:r>
    </w:p>
    <w:p w14:paraId="67F8FD3D" w14:textId="77777777" w:rsidR="00416925" w:rsidRPr="00416925" w:rsidRDefault="00416925" w:rsidP="00C035A5">
      <w:pPr>
        <w:jc w:val="center"/>
        <w:rPr>
          <w:bCs/>
          <w:i/>
          <w:iCs/>
          <w:color w:val="000000" w:themeColor="text1"/>
          <w:lang w:val="ro-MD"/>
        </w:rPr>
      </w:pPr>
    </w:p>
    <w:p w14:paraId="070C59B8" w14:textId="5AC1067D" w:rsidR="00A0385C" w:rsidRPr="00A0385C" w:rsidRDefault="00A0385C" w:rsidP="00C4642C">
      <w:pPr>
        <w:spacing w:before="120" w:after="120"/>
        <w:jc w:val="center"/>
        <w:rPr>
          <w:bCs/>
          <w:color w:val="000000" w:themeColor="text1"/>
          <w:lang w:val="ro-MD"/>
        </w:rPr>
      </w:pPr>
      <w:r w:rsidRPr="00A0385C">
        <w:rPr>
          <w:bCs/>
          <w:color w:val="000000" w:themeColor="text1"/>
          <w:lang w:val="ro-MD"/>
        </w:rPr>
        <w:t>Monitorul Oficial al R. Moldova nr.277-279 art.489 din 25.06.2026</w:t>
      </w:r>
    </w:p>
    <w:p w14:paraId="440511A8" w14:textId="77777777" w:rsidR="00CE759C" w:rsidRPr="005D3BC7" w:rsidRDefault="00CE759C" w:rsidP="00CE759C">
      <w:pPr>
        <w:spacing w:after="160" w:line="278" w:lineRule="auto"/>
        <w:jc w:val="center"/>
      </w:pPr>
      <w:r w:rsidRPr="005D3BC7">
        <w:t>* * *</w:t>
      </w:r>
    </w:p>
    <w:p w14:paraId="3CD367E5" w14:textId="69C453C1" w:rsidR="00C035A5" w:rsidRPr="002D468A" w:rsidRDefault="00C035A5" w:rsidP="00C035A5">
      <w:pPr>
        <w:tabs>
          <w:tab w:val="left" w:pos="1134"/>
        </w:tabs>
        <w:ind w:firstLine="426"/>
        <w:jc w:val="both"/>
        <w:rPr>
          <w:color w:val="000000" w:themeColor="text1"/>
          <w:lang w:val="ro-MD" w:eastAsia="ru-RU"/>
        </w:rPr>
      </w:pPr>
      <w:r w:rsidRPr="002D468A">
        <w:rPr>
          <w:color w:val="000000" w:themeColor="text1"/>
          <w:lang w:val="ro-MD" w:eastAsia="ru-RU"/>
        </w:rPr>
        <w:t>În temeiul art.</w:t>
      </w:r>
      <w:r w:rsidR="00123A40" w:rsidRPr="002D468A">
        <w:rPr>
          <w:color w:val="000000" w:themeColor="text1"/>
          <w:lang w:val="ro-MD"/>
        </w:rPr>
        <w:t xml:space="preserve"> </w:t>
      </w:r>
      <w:r w:rsidR="0067578C" w:rsidRPr="002D468A">
        <w:rPr>
          <w:color w:val="000000" w:themeColor="text1"/>
          <w:lang w:val="ro-MD" w:eastAsia="ru-RU"/>
        </w:rPr>
        <w:t>6</w:t>
      </w:r>
      <w:r w:rsidR="00360518" w:rsidRPr="002D468A">
        <w:rPr>
          <w:color w:val="000000" w:themeColor="text1"/>
          <w:lang w:val="ro-MD" w:eastAsia="ru-RU"/>
        </w:rPr>
        <w:t>7</w:t>
      </w:r>
      <w:r w:rsidR="00123A40" w:rsidRPr="002D468A">
        <w:rPr>
          <w:color w:val="000000" w:themeColor="text1"/>
          <w:lang w:val="ro-MD" w:eastAsia="ru-RU"/>
        </w:rPr>
        <w:t xml:space="preserve"> </w:t>
      </w:r>
      <w:r w:rsidR="00A421A6" w:rsidRPr="002D468A">
        <w:rPr>
          <w:color w:val="000000" w:themeColor="text1"/>
          <w:lang w:val="ro-MD" w:eastAsia="ru-RU"/>
        </w:rPr>
        <w:t>d</w:t>
      </w:r>
      <w:r w:rsidRPr="002D468A">
        <w:rPr>
          <w:color w:val="000000" w:themeColor="text1"/>
          <w:lang w:val="ro-MD" w:eastAsia="ru-RU"/>
        </w:rPr>
        <w:t>in Legea nr.202</w:t>
      </w:r>
      <w:r w:rsidR="00EB3DF0" w:rsidRPr="002D468A">
        <w:rPr>
          <w:color w:val="000000" w:themeColor="text1"/>
          <w:lang w:val="ro-MD" w:eastAsia="ru-RU"/>
        </w:rPr>
        <w:t>/</w:t>
      </w:r>
      <w:r w:rsidRPr="002D468A">
        <w:rPr>
          <w:color w:val="000000" w:themeColor="text1"/>
          <w:lang w:val="ro-MD" w:eastAsia="ru-RU"/>
        </w:rPr>
        <w:t>2017 privind activitatea băncilor (Monitorul Oficial al Republicii Moldova, 2017, nr.434-439, art.727)</w:t>
      </w:r>
      <w:r w:rsidR="00BE78C6" w:rsidRPr="002D468A">
        <w:rPr>
          <w:color w:val="000000" w:themeColor="text1"/>
          <w:lang w:val="ro-RO" w:eastAsia="ru-RU"/>
        </w:rPr>
        <w:t xml:space="preserve">, </w:t>
      </w:r>
      <w:r w:rsidRPr="002D468A">
        <w:rPr>
          <w:color w:val="000000" w:themeColor="text1"/>
          <w:lang w:val="ro-MD"/>
        </w:rPr>
        <w:t xml:space="preserve">Comitetul executiv </w:t>
      </w:r>
      <w:r w:rsidRPr="002D468A">
        <w:rPr>
          <w:color w:val="000000" w:themeColor="text1"/>
          <w:lang w:val="ro-MD" w:eastAsia="ru-RU"/>
        </w:rPr>
        <w:t xml:space="preserve">al Băncii Naționale a Moldovei </w:t>
      </w:r>
    </w:p>
    <w:p w14:paraId="154595E2" w14:textId="77777777" w:rsidR="00C035A5" w:rsidRPr="002D468A" w:rsidRDefault="00C035A5" w:rsidP="00C035A5">
      <w:pPr>
        <w:tabs>
          <w:tab w:val="left" w:pos="1134"/>
        </w:tabs>
        <w:ind w:firstLine="720"/>
        <w:jc w:val="both"/>
        <w:rPr>
          <w:color w:val="000000" w:themeColor="text1"/>
          <w:lang w:val="ro-MD" w:eastAsia="ru-RU"/>
        </w:rPr>
      </w:pPr>
    </w:p>
    <w:p w14:paraId="2993C2D7" w14:textId="77777777" w:rsidR="00C035A5" w:rsidRPr="002D468A" w:rsidRDefault="00C035A5" w:rsidP="00C035A5">
      <w:pPr>
        <w:tabs>
          <w:tab w:val="left" w:pos="1134"/>
        </w:tabs>
        <w:ind w:firstLine="720"/>
        <w:jc w:val="both"/>
        <w:rPr>
          <w:b/>
          <w:color w:val="000000" w:themeColor="text1"/>
          <w:lang w:val="ro-MD" w:eastAsia="ru-RU"/>
        </w:rPr>
      </w:pPr>
      <w:r w:rsidRPr="002D468A">
        <w:rPr>
          <w:b/>
          <w:color w:val="000000" w:themeColor="text1"/>
          <w:lang w:val="ro-MD" w:eastAsia="ru-RU"/>
        </w:rPr>
        <w:t>HOTĂRĂŞTE:</w:t>
      </w:r>
    </w:p>
    <w:p w14:paraId="1FBBA749" w14:textId="2EF40305" w:rsidR="00CD3634" w:rsidRPr="002D468A" w:rsidRDefault="00CD3634" w:rsidP="00CD3634">
      <w:pPr>
        <w:tabs>
          <w:tab w:val="left" w:pos="1134"/>
        </w:tabs>
        <w:ind w:firstLine="426"/>
        <w:jc w:val="both"/>
        <w:rPr>
          <w:bCs/>
          <w:color w:val="000000" w:themeColor="text1"/>
          <w:lang w:val="ro-MD" w:eastAsia="ru-RU"/>
        </w:rPr>
      </w:pPr>
      <w:r w:rsidRPr="002D468A">
        <w:rPr>
          <w:bCs/>
          <w:color w:val="000000" w:themeColor="text1"/>
          <w:lang w:val="ro-MD" w:eastAsia="ru-RU"/>
        </w:rPr>
        <w:t xml:space="preserve">Prezenta Hotărâre </w:t>
      </w:r>
      <w:r w:rsidRPr="002D468A">
        <w:rPr>
          <w:b/>
          <w:color w:val="000000" w:themeColor="text1"/>
          <w:lang w:val="ro-MD" w:eastAsia="ru-RU"/>
        </w:rPr>
        <w:t>transpune</w:t>
      </w:r>
      <w:r w:rsidRPr="002D468A">
        <w:rPr>
          <w:bCs/>
          <w:color w:val="000000" w:themeColor="text1"/>
          <w:lang w:val="ro-MD" w:eastAsia="ru-RU"/>
        </w:rPr>
        <w:t xml:space="preserve"> </w:t>
      </w:r>
      <w:r w:rsidR="001A04E1" w:rsidRPr="002D468A">
        <w:rPr>
          <w:bCs/>
          <w:color w:val="000000" w:themeColor="text1"/>
          <w:lang w:val="ro-MD" w:eastAsia="ru-RU"/>
        </w:rPr>
        <w:t xml:space="preserve">parțial (transpune: </w:t>
      </w:r>
      <w:r w:rsidRPr="002D468A">
        <w:rPr>
          <w:bCs/>
          <w:color w:val="000000" w:themeColor="text1"/>
          <w:lang w:val="ro-MD" w:eastAsia="ru-RU"/>
        </w:rPr>
        <w:t xml:space="preserve">art. 4 (1) pct. </w:t>
      </w:r>
      <w:r w:rsidR="00F71B95" w:rsidRPr="002D468A">
        <w:rPr>
          <w:bCs/>
          <w:color w:val="000000" w:themeColor="text1"/>
          <w:lang w:val="ro-MD" w:eastAsia="ru-RU"/>
        </w:rPr>
        <w:t xml:space="preserve">60a, </w:t>
      </w:r>
      <w:r w:rsidRPr="002D468A">
        <w:rPr>
          <w:bCs/>
          <w:color w:val="000000" w:themeColor="text1"/>
          <w:lang w:val="ro-MD" w:eastAsia="ru-RU"/>
        </w:rPr>
        <w:t>74a,</w:t>
      </w:r>
      <w:r w:rsidR="005E529C" w:rsidRPr="002D468A">
        <w:rPr>
          <w:bCs/>
          <w:color w:val="000000" w:themeColor="text1"/>
          <w:lang w:val="ro-MD" w:eastAsia="ru-RU"/>
        </w:rPr>
        <w:t xml:space="preserve"> 111,</w:t>
      </w:r>
      <w:r w:rsidRPr="002D468A">
        <w:rPr>
          <w:bCs/>
          <w:color w:val="000000" w:themeColor="text1"/>
          <w:lang w:val="ro-MD" w:eastAsia="ru-RU"/>
        </w:rPr>
        <w:t xml:space="preserve"> </w:t>
      </w:r>
      <w:r w:rsidR="00235BF9" w:rsidRPr="002D468A">
        <w:rPr>
          <w:bCs/>
          <w:color w:val="000000" w:themeColor="text1"/>
          <w:lang w:val="ro-MD" w:eastAsia="ru-RU"/>
        </w:rPr>
        <w:t xml:space="preserve">art.192 pct.5; </w:t>
      </w:r>
      <w:r w:rsidRPr="002D468A">
        <w:rPr>
          <w:bCs/>
          <w:color w:val="000000" w:themeColor="text1"/>
          <w:lang w:val="ro-MD" w:eastAsia="ru-RU"/>
        </w:rPr>
        <w:t xml:space="preserve">art. </w:t>
      </w:r>
      <w:r w:rsidR="0028358D" w:rsidRPr="002D468A">
        <w:rPr>
          <w:bCs/>
          <w:color w:val="000000" w:themeColor="text1"/>
          <w:lang w:val="ro-MD" w:eastAsia="ru-RU"/>
        </w:rPr>
        <w:t>19</w:t>
      </w:r>
      <w:r w:rsidR="00235BF9" w:rsidRPr="002D468A">
        <w:rPr>
          <w:bCs/>
          <w:color w:val="000000" w:themeColor="text1"/>
          <w:lang w:val="ro-MD" w:eastAsia="ru-RU"/>
        </w:rPr>
        <w:t>3</w:t>
      </w:r>
      <w:r w:rsidR="0028358D" w:rsidRPr="002D468A">
        <w:rPr>
          <w:bCs/>
          <w:color w:val="000000" w:themeColor="text1"/>
          <w:lang w:val="ro-MD" w:eastAsia="ru-RU"/>
        </w:rPr>
        <w:t xml:space="preserve"> (7); art.197 (5)</w:t>
      </w:r>
      <w:r w:rsidR="00A03197" w:rsidRPr="002D468A">
        <w:rPr>
          <w:bCs/>
          <w:color w:val="000000" w:themeColor="text1"/>
          <w:lang w:val="ro-MD" w:eastAsia="ru-RU"/>
        </w:rPr>
        <w:t>, (6)</w:t>
      </w:r>
      <w:r w:rsidR="0028358D" w:rsidRPr="002D468A">
        <w:rPr>
          <w:bCs/>
          <w:color w:val="000000" w:themeColor="text1"/>
          <w:lang w:val="ro-MD" w:eastAsia="ru-RU"/>
        </w:rPr>
        <w:t>; art.199 (1)-(7); art.201 (2); art.204 (3); art.204a; art.209-211; art.212 (2); art.221 (1)-(7); art.229 (1)-(3); art.230-232 (1)-(3); art.234; art.235a-236a)</w:t>
      </w:r>
      <w:r w:rsidRPr="002D468A">
        <w:rPr>
          <w:bCs/>
          <w:color w:val="000000" w:themeColor="text1"/>
          <w:lang w:val="ro-MD" w:eastAsia="ru-RU"/>
        </w:rPr>
        <w:t xml:space="preserve"> din </w:t>
      </w:r>
      <w:r w:rsidRPr="002D468A">
        <w:rPr>
          <w:b/>
          <w:color w:val="000000" w:themeColor="text1"/>
          <w:lang w:val="ro-MD" w:eastAsia="ru-RU"/>
        </w:rPr>
        <w:t>Regulamentul nr. 575/2013</w:t>
      </w:r>
      <w:r w:rsidRPr="002D468A">
        <w:rPr>
          <w:bCs/>
          <w:color w:val="000000" w:themeColor="text1"/>
          <w:lang w:val="ro-MD" w:eastAsia="ru-RU"/>
        </w:rPr>
        <w:t xml:space="preserve"> al Parlamentului European și al Consiliului din 26 iunie 2013 privind cerințele prudențiale pentru instituțiile de credit și de modificare a Regulamentului (UE) nr. 648/2012, CELEX: 32013R0575, publicat în Jurnalul Oficial al Uniunii Europene 176 din 27 iunie 2013, astfel cum a fost modificat ultima oară prin Regulamentul (UE) 2025/1215 al Parlamentului European și al Consiliului din 17 iunie 2025.</w:t>
      </w:r>
    </w:p>
    <w:p w14:paraId="7B472B49" w14:textId="77777777" w:rsidR="00301F1A" w:rsidRPr="002D468A" w:rsidRDefault="00301F1A" w:rsidP="00301F1A">
      <w:pPr>
        <w:tabs>
          <w:tab w:val="left" w:pos="1134"/>
        </w:tabs>
        <w:ind w:firstLine="426"/>
        <w:jc w:val="both"/>
        <w:rPr>
          <w:b/>
          <w:color w:val="000000" w:themeColor="text1"/>
          <w:lang w:val="ro-MD" w:eastAsia="ru-RU"/>
        </w:rPr>
      </w:pPr>
    </w:p>
    <w:p w14:paraId="1FBEC95A" w14:textId="6779E427" w:rsidR="00C035A5" w:rsidRPr="002D468A" w:rsidRDefault="00226E79" w:rsidP="00390BFE">
      <w:pPr>
        <w:pStyle w:val="ListParagraph"/>
        <w:numPr>
          <w:ilvl w:val="0"/>
          <w:numId w:val="27"/>
        </w:numPr>
        <w:tabs>
          <w:tab w:val="left" w:pos="567"/>
          <w:tab w:val="left" w:pos="720"/>
        </w:tabs>
        <w:ind w:left="0" w:firstLine="567"/>
        <w:jc w:val="both"/>
        <w:rPr>
          <w:color w:val="000000" w:themeColor="text1"/>
          <w:lang w:val="ro-MD"/>
        </w:rPr>
      </w:pPr>
      <w:bookmarkStart w:id="1" w:name="_Hlk168992658"/>
      <w:r w:rsidRPr="002D468A">
        <w:rPr>
          <w:color w:val="000000" w:themeColor="text1"/>
          <w:lang w:val="ro-MD"/>
        </w:rPr>
        <w:t xml:space="preserve">Hotărârea </w:t>
      </w:r>
      <w:r w:rsidRPr="002D468A">
        <w:rPr>
          <w:color w:val="000000" w:themeColor="text1"/>
          <w:lang w:val="ro-MD" w:eastAsia="ru-RU"/>
        </w:rPr>
        <w:t>Comitetului executiv al Băncii Naționale a Moldovei nr.1</w:t>
      </w:r>
      <w:r w:rsidR="007C2BB2" w:rsidRPr="002D468A">
        <w:rPr>
          <w:color w:val="000000" w:themeColor="text1"/>
          <w:lang w:val="ro-MD" w:eastAsia="ru-RU"/>
        </w:rPr>
        <w:t>1</w:t>
      </w:r>
      <w:r w:rsidR="00360518" w:rsidRPr="002D468A">
        <w:rPr>
          <w:color w:val="000000" w:themeColor="text1"/>
          <w:lang w:val="ro-MD" w:eastAsia="ru-RU"/>
        </w:rPr>
        <w:t>2</w:t>
      </w:r>
      <w:r w:rsidRPr="002D468A">
        <w:rPr>
          <w:color w:val="000000" w:themeColor="text1"/>
          <w:lang w:val="ro-MD" w:eastAsia="ru-RU"/>
        </w:rPr>
        <w:t xml:space="preserve">/2018 </w:t>
      </w:r>
      <w:r w:rsidR="007C2BB2" w:rsidRPr="002D468A">
        <w:rPr>
          <w:color w:val="000000" w:themeColor="text1"/>
          <w:lang w:val="ro-MD" w:eastAsia="ru-RU"/>
        </w:rPr>
        <w:t>cu privire la aprobarea Regulamentului cu</w:t>
      </w:r>
      <w:r w:rsidR="00390BFE" w:rsidRPr="002D468A">
        <w:rPr>
          <w:color w:val="000000" w:themeColor="text1"/>
          <w:lang w:val="ro-MD"/>
        </w:rPr>
        <w:t xml:space="preserve"> </w:t>
      </w:r>
      <w:r w:rsidR="00390BFE" w:rsidRPr="002D468A">
        <w:rPr>
          <w:color w:val="000000" w:themeColor="text1"/>
          <w:lang w:val="ro-MD" w:eastAsia="ru-RU"/>
        </w:rPr>
        <w:t>privire la tehnicile de diminuare a riscului de credit utilizate de bănci</w:t>
      </w:r>
      <w:r w:rsidR="00123A40" w:rsidRPr="002D468A">
        <w:rPr>
          <w:color w:val="000000" w:themeColor="text1"/>
          <w:lang w:val="ro-MD"/>
        </w:rPr>
        <w:t xml:space="preserve">, </w:t>
      </w:r>
      <w:r w:rsidR="00646CFD" w:rsidRPr="002D468A">
        <w:rPr>
          <w:color w:val="000000" w:themeColor="text1"/>
          <w:lang w:val="ro-MD" w:eastAsia="ru-RU"/>
        </w:rPr>
        <w:t>(Monitorul Oficial al Republicii Moldova, 201</w:t>
      </w:r>
      <w:r w:rsidR="0067578C" w:rsidRPr="002D468A">
        <w:rPr>
          <w:color w:val="000000" w:themeColor="text1"/>
          <w:lang w:val="ro-MD" w:eastAsia="ru-RU"/>
        </w:rPr>
        <w:t>8</w:t>
      </w:r>
      <w:r w:rsidR="00646CFD" w:rsidRPr="002D468A">
        <w:rPr>
          <w:color w:val="000000" w:themeColor="text1"/>
          <w:lang w:val="ro-MD" w:eastAsia="ru-RU"/>
        </w:rPr>
        <w:t>, nr.1</w:t>
      </w:r>
      <w:r w:rsidR="0067578C" w:rsidRPr="002D468A">
        <w:rPr>
          <w:color w:val="000000" w:themeColor="text1"/>
          <w:lang w:val="ro-MD" w:eastAsia="ru-RU"/>
        </w:rPr>
        <w:t>83</w:t>
      </w:r>
      <w:r w:rsidR="00AB0827" w:rsidRPr="002D468A">
        <w:rPr>
          <w:color w:val="000000" w:themeColor="text1"/>
          <w:lang w:val="ro-MD" w:eastAsia="ru-RU"/>
        </w:rPr>
        <w:t>-</w:t>
      </w:r>
      <w:r w:rsidR="0067578C" w:rsidRPr="002D468A">
        <w:rPr>
          <w:color w:val="000000" w:themeColor="text1"/>
          <w:lang w:val="ro-MD" w:eastAsia="ru-RU"/>
        </w:rPr>
        <w:t>194</w:t>
      </w:r>
      <w:r w:rsidR="00646CFD" w:rsidRPr="002D468A">
        <w:rPr>
          <w:color w:val="000000" w:themeColor="text1"/>
          <w:lang w:val="ro-MD" w:eastAsia="ru-RU"/>
        </w:rPr>
        <w:t>, art.</w:t>
      </w:r>
      <w:r w:rsidR="0067578C" w:rsidRPr="002D468A">
        <w:rPr>
          <w:color w:val="000000" w:themeColor="text1"/>
          <w:lang w:val="ro-MD" w:eastAsia="ru-RU"/>
        </w:rPr>
        <w:t>9</w:t>
      </w:r>
      <w:r w:rsidR="007C2BB2" w:rsidRPr="002D468A">
        <w:rPr>
          <w:color w:val="000000" w:themeColor="text1"/>
          <w:lang w:val="ro-MD" w:eastAsia="ru-RU"/>
        </w:rPr>
        <w:t>0</w:t>
      </w:r>
      <w:r w:rsidR="00390BFE" w:rsidRPr="002D468A">
        <w:rPr>
          <w:color w:val="000000" w:themeColor="text1"/>
          <w:lang w:val="ro-MD" w:eastAsia="ru-RU"/>
        </w:rPr>
        <w:t>2</w:t>
      </w:r>
      <w:r w:rsidR="00646CFD" w:rsidRPr="002D468A">
        <w:rPr>
          <w:color w:val="000000" w:themeColor="text1"/>
          <w:lang w:val="ro-MD" w:eastAsia="ru-RU"/>
        </w:rPr>
        <w:t>), înregistrată la Ministerul Justiției al Republicii Moldova cu nr.</w:t>
      </w:r>
      <w:r w:rsidR="0067578C" w:rsidRPr="002D468A">
        <w:rPr>
          <w:color w:val="000000" w:themeColor="text1"/>
          <w:lang w:val="ro-MD" w:eastAsia="ru-RU"/>
        </w:rPr>
        <w:t>13</w:t>
      </w:r>
      <w:r w:rsidR="00390BFE" w:rsidRPr="002D468A">
        <w:rPr>
          <w:color w:val="000000" w:themeColor="text1"/>
          <w:lang w:val="ro-MD" w:eastAsia="ru-RU"/>
        </w:rPr>
        <w:t>29</w:t>
      </w:r>
      <w:r w:rsidR="00646CFD" w:rsidRPr="002D468A">
        <w:rPr>
          <w:color w:val="000000" w:themeColor="text1"/>
          <w:lang w:val="ro-MD" w:eastAsia="ru-RU"/>
        </w:rPr>
        <w:t>/201</w:t>
      </w:r>
      <w:r w:rsidR="00895950" w:rsidRPr="002D468A">
        <w:rPr>
          <w:color w:val="000000" w:themeColor="text1"/>
          <w:lang w:val="ro-MD" w:eastAsia="ru-RU"/>
        </w:rPr>
        <w:t>8</w:t>
      </w:r>
      <w:r w:rsidR="00646CFD" w:rsidRPr="002D468A">
        <w:rPr>
          <w:color w:val="000000" w:themeColor="text1"/>
          <w:lang w:val="ro-MD" w:eastAsia="ru-RU"/>
        </w:rPr>
        <w:t>, se modifică după cum urmează:</w:t>
      </w:r>
    </w:p>
    <w:bookmarkEnd w:id="1"/>
    <w:p w14:paraId="13B556B2" w14:textId="2305BF11" w:rsidR="00275B40" w:rsidRPr="002D468A" w:rsidRDefault="00B822F7" w:rsidP="005A2ADB">
      <w:pPr>
        <w:pStyle w:val="ListParagraph"/>
        <w:numPr>
          <w:ilvl w:val="1"/>
          <w:numId w:val="27"/>
        </w:numPr>
        <w:tabs>
          <w:tab w:val="left" w:pos="567"/>
        </w:tabs>
        <w:spacing w:before="80"/>
        <w:ind w:left="0" w:firstLine="567"/>
        <w:jc w:val="both"/>
        <w:rPr>
          <w:color w:val="000000" w:themeColor="text1"/>
          <w:lang w:val="ro-MD"/>
        </w:rPr>
      </w:pPr>
      <w:r w:rsidRPr="002D468A">
        <w:rPr>
          <w:color w:val="000000" w:themeColor="text1"/>
          <w:lang w:val="ro-MD"/>
        </w:rPr>
        <w:t xml:space="preserve">În clauza </w:t>
      </w:r>
      <w:r w:rsidR="00400A54" w:rsidRPr="002D468A">
        <w:rPr>
          <w:color w:val="000000" w:themeColor="text1"/>
          <w:lang w:val="ro-MD"/>
        </w:rPr>
        <w:t>de adoptare a</w:t>
      </w:r>
      <w:r w:rsidR="00C57A50" w:rsidRPr="002D468A">
        <w:rPr>
          <w:color w:val="000000" w:themeColor="text1"/>
          <w:lang w:val="ro-MD"/>
        </w:rPr>
        <w:t xml:space="preserve"> hotărârii</w:t>
      </w:r>
      <w:r w:rsidR="00275B40" w:rsidRPr="002D468A">
        <w:rPr>
          <w:color w:val="000000" w:themeColor="text1"/>
          <w:lang w:val="ro-MD"/>
        </w:rPr>
        <w:t>:</w:t>
      </w:r>
    </w:p>
    <w:p w14:paraId="569B0470" w14:textId="55970D22" w:rsidR="00275B40" w:rsidRPr="002D468A" w:rsidRDefault="00B822F7" w:rsidP="00DE34A8">
      <w:pPr>
        <w:pStyle w:val="ListParagraph"/>
        <w:numPr>
          <w:ilvl w:val="2"/>
          <w:numId w:val="27"/>
        </w:numPr>
        <w:tabs>
          <w:tab w:val="left" w:pos="567"/>
        </w:tabs>
        <w:spacing w:before="80"/>
        <w:ind w:left="0" w:firstLine="567"/>
        <w:jc w:val="both"/>
        <w:rPr>
          <w:color w:val="000000" w:themeColor="text1"/>
          <w:lang w:val="ro-MD"/>
        </w:rPr>
      </w:pPr>
      <w:r w:rsidRPr="002D468A">
        <w:rPr>
          <w:color w:val="000000" w:themeColor="text1"/>
          <w:lang w:val="ro-MD"/>
        </w:rPr>
        <w:t>textul „Legea nr.548-XIII din 21 iulie 1995” se substituie cu textul „Legea nr.548/1995”</w:t>
      </w:r>
      <w:r w:rsidR="00274FFD" w:rsidRPr="002D468A">
        <w:rPr>
          <w:color w:val="000000" w:themeColor="text1"/>
          <w:lang w:val="ro-MD"/>
        </w:rPr>
        <w:t xml:space="preserve">, </w:t>
      </w:r>
      <w:r w:rsidR="00275B40" w:rsidRPr="002D468A">
        <w:rPr>
          <w:color w:val="000000" w:themeColor="text1"/>
          <w:lang w:val="ro-MD"/>
        </w:rPr>
        <w:t>iar cuvintele „și completările” se exclud;</w:t>
      </w:r>
    </w:p>
    <w:p w14:paraId="276CCD2C" w14:textId="279D42DE" w:rsidR="005A2ADB" w:rsidRPr="002D468A" w:rsidRDefault="008B4DAD" w:rsidP="00DE34A8">
      <w:pPr>
        <w:pStyle w:val="ListParagraph"/>
        <w:numPr>
          <w:ilvl w:val="2"/>
          <w:numId w:val="27"/>
        </w:numPr>
        <w:tabs>
          <w:tab w:val="left" w:pos="567"/>
        </w:tabs>
        <w:spacing w:before="80"/>
        <w:ind w:left="0" w:firstLine="567"/>
        <w:jc w:val="both"/>
        <w:rPr>
          <w:color w:val="000000" w:themeColor="text1"/>
          <w:lang w:val="ro-MD"/>
        </w:rPr>
      </w:pPr>
      <w:r w:rsidRPr="002D468A">
        <w:rPr>
          <w:color w:val="000000" w:themeColor="text1"/>
          <w:lang w:val="ro-MD"/>
        </w:rPr>
        <w:t xml:space="preserve">textul „Legea nr.202 din 6 octombrie 2017” se substituie cu textul </w:t>
      </w:r>
      <w:r w:rsidR="00B822F7" w:rsidRPr="002D468A">
        <w:rPr>
          <w:color w:val="000000" w:themeColor="text1"/>
          <w:lang w:val="ro-MD"/>
        </w:rPr>
        <w:t>„Legea nr.202/2017”, iar cuvintele „și completările” se exclud</w:t>
      </w:r>
      <w:r w:rsidR="005C6B87" w:rsidRPr="002D468A">
        <w:rPr>
          <w:color w:val="000000" w:themeColor="text1"/>
          <w:lang w:val="ro-MD"/>
        </w:rPr>
        <w:t>.</w:t>
      </w:r>
    </w:p>
    <w:p w14:paraId="4F32DB46" w14:textId="641CB717" w:rsidR="00DA2B2E" w:rsidRPr="002D468A" w:rsidRDefault="00F9793E" w:rsidP="00F9793E">
      <w:pPr>
        <w:pStyle w:val="ListParagraph"/>
        <w:numPr>
          <w:ilvl w:val="1"/>
          <w:numId w:val="27"/>
        </w:numPr>
        <w:tabs>
          <w:tab w:val="left" w:pos="567"/>
        </w:tabs>
        <w:spacing w:before="80"/>
        <w:ind w:left="0" w:firstLine="567"/>
        <w:contextualSpacing w:val="0"/>
        <w:jc w:val="both"/>
        <w:rPr>
          <w:color w:val="000000" w:themeColor="text1"/>
          <w:lang w:val="ro-MD"/>
        </w:rPr>
      </w:pPr>
      <w:r w:rsidRPr="002D468A">
        <w:rPr>
          <w:color w:val="000000" w:themeColor="text1"/>
          <w:lang w:val="ro-MD"/>
        </w:rPr>
        <w:t xml:space="preserve">Clauza </w:t>
      </w:r>
      <w:r w:rsidR="00DA2B2E" w:rsidRPr="002D468A">
        <w:rPr>
          <w:color w:val="000000" w:themeColor="text1"/>
          <w:lang w:val="ro-MD"/>
        </w:rPr>
        <w:t>de armonizare</w:t>
      </w:r>
      <w:r w:rsidRPr="002D468A">
        <w:rPr>
          <w:color w:val="000000" w:themeColor="text1"/>
          <w:lang w:val="ro-MD"/>
        </w:rPr>
        <w:t xml:space="preserve"> va avea următorul cuprins:</w:t>
      </w:r>
    </w:p>
    <w:p w14:paraId="6E973687" w14:textId="60F0F895" w:rsidR="00F9793E" w:rsidRPr="002D468A" w:rsidRDefault="00F9793E" w:rsidP="00E30DC8">
      <w:pPr>
        <w:tabs>
          <w:tab w:val="left" w:pos="567"/>
        </w:tabs>
        <w:jc w:val="both"/>
        <w:rPr>
          <w:color w:val="000000" w:themeColor="text1"/>
          <w:lang w:val="ro-MD"/>
        </w:rPr>
      </w:pPr>
      <w:r w:rsidRPr="002D468A">
        <w:rPr>
          <w:color w:val="000000" w:themeColor="text1"/>
          <w:lang w:val="ro-MD"/>
        </w:rPr>
        <w:t xml:space="preserve">„Prezentul </w:t>
      </w:r>
      <w:r w:rsidR="00C20665" w:rsidRPr="002D468A">
        <w:rPr>
          <w:color w:val="000000" w:themeColor="text1"/>
          <w:lang w:val="ro-MD"/>
        </w:rPr>
        <w:t>r</w:t>
      </w:r>
      <w:r w:rsidRPr="002D468A">
        <w:rPr>
          <w:color w:val="000000" w:themeColor="text1"/>
          <w:lang w:val="ro-MD"/>
        </w:rPr>
        <w:t xml:space="preserve">egulament </w:t>
      </w:r>
      <w:r w:rsidRPr="002D468A">
        <w:rPr>
          <w:b/>
          <w:bCs/>
          <w:color w:val="000000" w:themeColor="text1"/>
          <w:lang w:val="ro-MD"/>
        </w:rPr>
        <w:t>transpune</w:t>
      </w:r>
      <w:r w:rsidR="00B95B53" w:rsidRPr="002D468A">
        <w:rPr>
          <w:b/>
          <w:bCs/>
          <w:color w:val="000000" w:themeColor="text1"/>
          <w:lang w:val="ro-MD"/>
        </w:rPr>
        <w:t xml:space="preserve"> </w:t>
      </w:r>
      <w:r w:rsidR="00B95B53" w:rsidRPr="002D468A">
        <w:rPr>
          <w:color w:val="000000" w:themeColor="text1"/>
          <w:lang w:val="ro-RO" w:eastAsia="ro-MD"/>
        </w:rPr>
        <w:t>art.4</w:t>
      </w:r>
      <w:r w:rsidR="00324CCC" w:rsidRPr="002D468A">
        <w:rPr>
          <w:color w:val="000000" w:themeColor="text1"/>
          <w:lang w:val="ro-RO" w:eastAsia="ro-MD"/>
        </w:rPr>
        <w:t xml:space="preserve"> alin. </w:t>
      </w:r>
      <w:r w:rsidR="00B95B53" w:rsidRPr="002D468A">
        <w:rPr>
          <w:color w:val="000000" w:themeColor="text1"/>
          <w:lang w:val="ro-RO" w:eastAsia="ro-MD"/>
        </w:rPr>
        <w:t>(1) pct.</w:t>
      </w:r>
      <w:r w:rsidR="00324CCC" w:rsidRPr="002D468A">
        <w:rPr>
          <w:color w:val="000000" w:themeColor="text1"/>
          <w:lang w:val="ro-RO" w:eastAsia="ro-MD"/>
        </w:rPr>
        <w:t xml:space="preserve"> </w:t>
      </w:r>
      <w:r w:rsidR="00CB4CA5" w:rsidRPr="002D468A">
        <w:rPr>
          <w:color w:val="000000" w:themeColor="text1"/>
          <w:lang w:val="ro-RO" w:eastAsia="ro-MD"/>
        </w:rPr>
        <w:t>57</w:t>
      </w:r>
      <w:r w:rsidR="00F71B95" w:rsidRPr="002D468A">
        <w:rPr>
          <w:color w:val="000000" w:themeColor="text1"/>
          <w:lang w:val="ro-RO" w:eastAsia="ro-MD"/>
        </w:rPr>
        <w:t>-60a</w:t>
      </w:r>
      <w:r w:rsidR="00CB4CA5" w:rsidRPr="002D468A">
        <w:rPr>
          <w:color w:val="000000" w:themeColor="text1"/>
          <w:lang w:val="ro-RO" w:eastAsia="ro-MD"/>
        </w:rPr>
        <w:t xml:space="preserve">, </w:t>
      </w:r>
      <w:r w:rsidR="00B95B53" w:rsidRPr="002D468A">
        <w:rPr>
          <w:color w:val="000000" w:themeColor="text1"/>
          <w:lang w:val="ro-RO" w:eastAsia="ro-MD"/>
        </w:rPr>
        <w:t xml:space="preserve">74a, </w:t>
      </w:r>
      <w:r w:rsidR="00235BF9" w:rsidRPr="002D468A">
        <w:rPr>
          <w:color w:val="000000" w:themeColor="text1"/>
          <w:lang w:val="ro-MD"/>
        </w:rPr>
        <w:t xml:space="preserve">82, 83, 111; </w:t>
      </w:r>
      <w:r w:rsidRPr="002D468A">
        <w:rPr>
          <w:color w:val="000000" w:themeColor="text1"/>
          <w:lang w:val="ro-MD"/>
        </w:rPr>
        <w:t>art.</w:t>
      </w:r>
      <w:r w:rsidR="00390BFE" w:rsidRPr="002D468A">
        <w:rPr>
          <w:color w:val="000000" w:themeColor="text1"/>
          <w:lang w:val="ro-MD"/>
        </w:rPr>
        <w:t>192-207</w:t>
      </w:r>
      <w:r w:rsidR="007223B7" w:rsidRPr="002D468A">
        <w:rPr>
          <w:color w:val="000000" w:themeColor="text1"/>
          <w:lang w:val="ro-MD"/>
        </w:rPr>
        <w:t xml:space="preserve"> </w:t>
      </w:r>
      <w:r w:rsidR="007223B7" w:rsidRPr="002D468A">
        <w:rPr>
          <w:color w:val="000000" w:themeColor="text1"/>
          <w:lang w:val="ro-RO"/>
        </w:rPr>
        <w:t>și art.</w:t>
      </w:r>
      <w:r w:rsidR="00390BFE" w:rsidRPr="002D468A">
        <w:rPr>
          <w:color w:val="000000" w:themeColor="text1"/>
          <w:lang w:val="ro-MD"/>
        </w:rPr>
        <w:t>209-2</w:t>
      </w:r>
      <w:r w:rsidR="00B46BFC" w:rsidRPr="002D468A">
        <w:rPr>
          <w:color w:val="000000" w:themeColor="text1"/>
          <w:lang w:val="ro-MD"/>
        </w:rPr>
        <w:t>39</w:t>
      </w:r>
      <w:r w:rsidR="00390BFE" w:rsidRPr="002D468A">
        <w:rPr>
          <w:color w:val="000000" w:themeColor="text1"/>
          <w:lang w:val="ro-MD"/>
        </w:rPr>
        <w:t xml:space="preserve"> </w:t>
      </w:r>
      <w:r w:rsidR="00C20665" w:rsidRPr="002D468A">
        <w:rPr>
          <w:color w:val="000000" w:themeColor="text1"/>
          <w:lang w:val="ro-MD"/>
        </w:rPr>
        <w:t>din</w:t>
      </w:r>
      <w:r w:rsidRPr="002D468A">
        <w:rPr>
          <w:color w:val="000000" w:themeColor="text1"/>
          <w:lang w:val="ro-MD"/>
        </w:rPr>
        <w:t xml:space="preserve"> </w:t>
      </w:r>
      <w:r w:rsidRPr="002D468A">
        <w:rPr>
          <w:b/>
          <w:bCs/>
          <w:color w:val="000000" w:themeColor="text1"/>
          <w:lang w:val="ro-MD"/>
        </w:rPr>
        <w:t>Regulamentul nr. 575/2013</w:t>
      </w:r>
      <w:r w:rsidRPr="002D468A">
        <w:rPr>
          <w:color w:val="000000" w:themeColor="text1"/>
          <w:lang w:val="ro-MD"/>
        </w:rPr>
        <w:t xml:space="preserve"> al Parlamentului European și al Consiliului din 26 iunie 2013 privind cerințele prudențiale pentru instituțiile de credit și de modificare a Regulamentului (UE) nr. 648/2012, CELEX: 32013R0575, publicat în Jurnalul Oficial al Uniunii Europene 176 din 27 iunie 2013, astfel cum a fost modificat ultima oară prin Regulamentul (UE) 2025/1215 al Parlamentului European și al Consiliului din 17 iunie 2025.</w:t>
      </w:r>
      <w:r w:rsidR="00AC6F4E" w:rsidRPr="002D468A">
        <w:rPr>
          <w:color w:val="000000" w:themeColor="text1"/>
          <w:lang w:val="ro-MD"/>
        </w:rPr>
        <w:t>”</w:t>
      </w:r>
      <w:r w:rsidR="005C6B87" w:rsidRPr="002D468A">
        <w:rPr>
          <w:color w:val="000000" w:themeColor="text1"/>
          <w:lang w:val="ro-MD"/>
        </w:rPr>
        <w:t>.</w:t>
      </w:r>
    </w:p>
    <w:p w14:paraId="3E3ABEB6" w14:textId="77777777" w:rsidR="00C57CEE" w:rsidRPr="002D468A" w:rsidRDefault="001F6D7C" w:rsidP="00313633">
      <w:pPr>
        <w:pStyle w:val="ListParagraph"/>
        <w:numPr>
          <w:ilvl w:val="1"/>
          <w:numId w:val="27"/>
        </w:numPr>
        <w:tabs>
          <w:tab w:val="left" w:pos="567"/>
        </w:tabs>
        <w:spacing w:before="80"/>
        <w:ind w:left="0" w:firstLine="567"/>
        <w:jc w:val="both"/>
        <w:rPr>
          <w:color w:val="000000" w:themeColor="text1"/>
          <w:lang w:val="ro-MD"/>
        </w:rPr>
      </w:pPr>
      <w:r w:rsidRPr="002D468A">
        <w:rPr>
          <w:color w:val="000000" w:themeColor="text1"/>
          <w:lang w:val="ro-MD"/>
        </w:rPr>
        <w:t>La punctul 3</w:t>
      </w:r>
      <w:r w:rsidR="00C57CEE" w:rsidRPr="002D468A">
        <w:rPr>
          <w:color w:val="000000" w:themeColor="text1"/>
          <w:lang w:val="ro-MD"/>
        </w:rPr>
        <w:t>:</w:t>
      </w:r>
    </w:p>
    <w:p w14:paraId="7B7C42DA" w14:textId="4E675D97" w:rsidR="00C57CEE" w:rsidRPr="002D468A" w:rsidRDefault="00C57CEE" w:rsidP="00C57CEE">
      <w:pPr>
        <w:pStyle w:val="ListParagraph"/>
        <w:numPr>
          <w:ilvl w:val="2"/>
          <w:numId w:val="27"/>
        </w:numPr>
        <w:tabs>
          <w:tab w:val="left" w:pos="567"/>
        </w:tabs>
        <w:spacing w:before="80"/>
        <w:ind w:left="0" w:firstLine="567"/>
        <w:jc w:val="both"/>
        <w:rPr>
          <w:color w:val="000000" w:themeColor="text1"/>
          <w:lang w:val="ro-MD"/>
        </w:rPr>
      </w:pPr>
      <w:r w:rsidRPr="002D468A">
        <w:rPr>
          <w:color w:val="000000" w:themeColor="text1"/>
          <w:lang w:val="ro-MD"/>
        </w:rPr>
        <w:lastRenderedPageBreak/>
        <w:t>textul „Legea nr.202 din 06 octombrie 2017 privind activitatea băncilor (Monitorul Oficial al Republicii Moldova, 2017, nr.434-439, art.727)” se substituie cu textul „Legea nr.202/2017 privind activitatea băncilor (în continuarea – Legea nr.202/2017);</w:t>
      </w:r>
    </w:p>
    <w:p w14:paraId="4295F1D0" w14:textId="271716A5" w:rsidR="00974E10" w:rsidRPr="002D468A" w:rsidRDefault="00313633" w:rsidP="00C57CEE">
      <w:pPr>
        <w:pStyle w:val="ListParagraph"/>
        <w:numPr>
          <w:ilvl w:val="2"/>
          <w:numId w:val="27"/>
        </w:numPr>
        <w:tabs>
          <w:tab w:val="left" w:pos="426"/>
        </w:tabs>
        <w:spacing w:before="80"/>
        <w:ind w:left="0" w:firstLine="567"/>
        <w:jc w:val="both"/>
        <w:rPr>
          <w:color w:val="000000" w:themeColor="text1"/>
          <w:lang w:val="ro-MD"/>
        </w:rPr>
      </w:pPr>
      <w:r w:rsidRPr="002D468A">
        <w:rPr>
          <w:color w:val="000000" w:themeColor="text1"/>
          <w:lang w:val="ro-MD"/>
        </w:rPr>
        <w:t xml:space="preserve"> </w:t>
      </w:r>
      <w:r w:rsidR="00913598" w:rsidRPr="002D468A">
        <w:rPr>
          <w:color w:val="000000" w:themeColor="text1"/>
          <w:lang w:val="ro-RO"/>
        </w:rPr>
        <w:t>în ordine alfabetică</w:t>
      </w:r>
      <w:r w:rsidR="006D4DE6" w:rsidRPr="002D468A">
        <w:rPr>
          <w:color w:val="000000" w:themeColor="text1"/>
          <w:lang w:val="ro-RO"/>
        </w:rPr>
        <w:t>,</w:t>
      </w:r>
      <w:r w:rsidR="00E63F05" w:rsidRPr="002D468A">
        <w:rPr>
          <w:color w:val="000000" w:themeColor="text1"/>
          <w:lang w:val="ro-MD"/>
        </w:rPr>
        <w:t xml:space="preserve"> </w:t>
      </w:r>
      <w:r w:rsidR="001F6D7C" w:rsidRPr="002D468A">
        <w:rPr>
          <w:color w:val="000000" w:themeColor="text1"/>
          <w:lang w:val="ro-MD"/>
        </w:rPr>
        <w:t>se completează cu noțiun</w:t>
      </w:r>
      <w:r w:rsidR="00913598" w:rsidRPr="002D468A">
        <w:rPr>
          <w:color w:val="000000" w:themeColor="text1"/>
          <w:lang w:val="ro-MD"/>
        </w:rPr>
        <w:t>ile</w:t>
      </w:r>
      <w:r w:rsidR="000B68EF" w:rsidRPr="002D468A">
        <w:rPr>
          <w:color w:val="000000" w:themeColor="text1"/>
          <w:lang w:val="ro-MD"/>
        </w:rPr>
        <w:t xml:space="preserve"> „</w:t>
      </w:r>
      <w:r w:rsidR="000C6139" w:rsidRPr="002D468A">
        <w:rPr>
          <w:color w:val="000000" w:themeColor="text1"/>
          <w:lang w:val="ro-MD"/>
        </w:rPr>
        <w:t xml:space="preserve">abordarea constând în înlocuirea parametrilor de risc pe baza </w:t>
      </w:r>
      <w:r w:rsidR="00B35977" w:rsidRPr="002D468A">
        <w:rPr>
          <w:color w:val="000000" w:themeColor="text1"/>
          <w:lang w:val="ro-MD"/>
        </w:rPr>
        <w:t>abordării avansate bazate pe modele interne de rating (</w:t>
      </w:r>
      <w:r w:rsidR="000C6139" w:rsidRPr="002D468A">
        <w:rPr>
          <w:color w:val="000000" w:themeColor="text1"/>
          <w:lang w:val="ro-MD"/>
        </w:rPr>
        <w:t>A-IRB</w:t>
      </w:r>
      <w:r w:rsidR="00B35977" w:rsidRPr="002D468A">
        <w:rPr>
          <w:color w:val="000000" w:themeColor="text1"/>
          <w:lang w:val="ro-MD"/>
        </w:rPr>
        <w:t>)</w:t>
      </w:r>
      <w:r w:rsidR="000B68EF" w:rsidRPr="002D468A">
        <w:rPr>
          <w:color w:val="000000" w:themeColor="text1"/>
          <w:lang w:val="ro-MD"/>
        </w:rPr>
        <w:t xml:space="preserve">”, </w:t>
      </w:r>
      <w:r w:rsidR="004A0DD9" w:rsidRPr="002D468A">
        <w:rPr>
          <w:color w:val="000000" w:themeColor="text1"/>
          <w:lang w:val="ro-MD"/>
        </w:rPr>
        <w:t xml:space="preserve">„aur fizic”, </w:t>
      </w:r>
      <w:r w:rsidR="00DA1DE5" w:rsidRPr="002D468A">
        <w:rPr>
          <w:color w:val="000000" w:themeColor="text1"/>
          <w:lang w:val="ro-RO" w:eastAsia="ro-MD"/>
        </w:rPr>
        <w:t xml:space="preserve">„expunere garantată cu bunuri imobile locative” , „expunere garantată cu bunuri imobile comerciale”, „expunere garantată cu bunuri imobile” </w:t>
      </w:r>
      <w:r w:rsidR="00913598" w:rsidRPr="002D468A">
        <w:rPr>
          <w:color w:val="000000" w:themeColor="text1"/>
          <w:lang w:val="ro-RO" w:eastAsia="ro-MD"/>
        </w:rPr>
        <w:t xml:space="preserve">„valoarea bunurilor imobile”,  </w:t>
      </w:r>
      <w:r w:rsidR="000B68EF" w:rsidRPr="002D468A">
        <w:rPr>
          <w:color w:val="000000" w:themeColor="text1"/>
          <w:lang w:val="ro-MD"/>
        </w:rPr>
        <w:t>cu următorul cuprins</w:t>
      </w:r>
      <w:r w:rsidR="00974E10" w:rsidRPr="002D468A">
        <w:rPr>
          <w:color w:val="000000" w:themeColor="text1"/>
          <w:lang w:val="ro-MD"/>
        </w:rPr>
        <w:t>:</w:t>
      </w:r>
    </w:p>
    <w:p w14:paraId="0566A8F4" w14:textId="2EB2D4E2" w:rsidR="00C01BE8" w:rsidRPr="002D468A" w:rsidRDefault="00D90138" w:rsidP="00C57CEE">
      <w:pPr>
        <w:pStyle w:val="ListParagraph"/>
        <w:tabs>
          <w:tab w:val="left" w:pos="426"/>
        </w:tabs>
        <w:ind w:left="0"/>
        <w:jc w:val="both"/>
        <w:rPr>
          <w:color w:val="000000" w:themeColor="text1"/>
          <w:lang w:val="ro-RO" w:eastAsia="ro-MD"/>
        </w:rPr>
      </w:pPr>
      <w:r w:rsidRPr="002D468A">
        <w:rPr>
          <w:color w:val="000000" w:themeColor="text1"/>
          <w:lang w:val="ro-MD"/>
        </w:rPr>
        <w:t>„</w:t>
      </w:r>
      <w:r w:rsidR="009F36F9" w:rsidRPr="002D468A">
        <w:rPr>
          <w:i/>
          <w:iCs/>
          <w:color w:val="000000" w:themeColor="text1"/>
          <w:lang w:val="ro-RO" w:eastAsia="ro-MD"/>
        </w:rPr>
        <w:t xml:space="preserve">abordarea constând în înlocuirea parametrilor de risc pe baza </w:t>
      </w:r>
      <w:r w:rsidR="00B35977" w:rsidRPr="000100B5">
        <w:rPr>
          <w:i/>
          <w:iCs/>
          <w:color w:val="000000" w:themeColor="text1"/>
          <w:lang w:val="ro-MD"/>
        </w:rPr>
        <w:t xml:space="preserve">abordării avansate bazate pe modele interne de rating </w:t>
      </w:r>
      <w:r w:rsidR="00B35977" w:rsidRPr="002D468A">
        <w:rPr>
          <w:color w:val="000000" w:themeColor="text1"/>
          <w:lang w:val="ro-MD"/>
        </w:rPr>
        <w:t>(</w:t>
      </w:r>
      <w:r w:rsidR="009F36F9" w:rsidRPr="002D468A">
        <w:rPr>
          <w:i/>
          <w:iCs/>
          <w:color w:val="000000" w:themeColor="text1"/>
          <w:lang w:val="ro-RO" w:eastAsia="ro-MD"/>
        </w:rPr>
        <w:t>A-IRB</w:t>
      </w:r>
      <w:r w:rsidR="00B35977" w:rsidRPr="002D468A">
        <w:rPr>
          <w:i/>
          <w:iCs/>
          <w:color w:val="000000" w:themeColor="text1"/>
          <w:lang w:val="ro-RO" w:eastAsia="ro-MD"/>
        </w:rPr>
        <w:t>)</w:t>
      </w:r>
      <w:r w:rsidR="009F36F9" w:rsidRPr="002D468A">
        <w:rPr>
          <w:color w:val="000000" w:themeColor="text1"/>
          <w:lang w:val="ro-RO" w:eastAsia="ro-MD"/>
        </w:rPr>
        <w:t xml:space="preserve"> - înlocuirea, în conformitate cu punctele116</w:t>
      </w:r>
      <w:r w:rsidR="009F36F9" w:rsidRPr="002D468A">
        <w:rPr>
          <w:color w:val="000000" w:themeColor="text1"/>
          <w:vertAlign w:val="superscript"/>
          <w:lang w:val="ro-RO" w:eastAsia="ro-MD"/>
        </w:rPr>
        <w:t>13</w:t>
      </w:r>
      <w:r w:rsidR="009F36F9" w:rsidRPr="002D468A">
        <w:rPr>
          <w:color w:val="000000" w:themeColor="text1"/>
          <w:lang w:val="ro-RO" w:eastAsia="ro-MD"/>
        </w:rPr>
        <w:t>-116</w:t>
      </w:r>
      <w:r w:rsidR="009F36F9" w:rsidRPr="002D468A">
        <w:rPr>
          <w:color w:val="000000" w:themeColor="text1"/>
          <w:vertAlign w:val="superscript"/>
          <w:lang w:val="ro-RO" w:eastAsia="ro-MD"/>
        </w:rPr>
        <w:t>17</w:t>
      </w:r>
      <w:r w:rsidR="009F36F9" w:rsidRPr="002D468A">
        <w:rPr>
          <w:color w:val="000000" w:themeColor="text1"/>
          <w:lang w:val="ro-RO" w:eastAsia="ro-MD"/>
        </w:rPr>
        <w:t xml:space="preserve">, a parametrilor de risc </w:t>
      </w:r>
      <w:r w:rsidR="006D4670" w:rsidRPr="002D468A">
        <w:rPr>
          <w:color w:val="000000" w:themeColor="text1"/>
          <w:lang w:val="ro-RO" w:eastAsia="ro-MD"/>
        </w:rPr>
        <w:t xml:space="preserve">probabilitate de </w:t>
      </w:r>
      <w:r w:rsidR="005651CC" w:rsidRPr="002D468A">
        <w:rPr>
          <w:color w:val="000000" w:themeColor="text1"/>
          <w:lang w:val="ro-RO" w:eastAsia="ro-MD"/>
        </w:rPr>
        <w:t>nerambursare</w:t>
      </w:r>
      <w:r w:rsidR="006D4670" w:rsidRPr="002D468A">
        <w:rPr>
          <w:color w:val="000000" w:themeColor="text1"/>
          <w:lang w:val="ro-RO" w:eastAsia="ro-MD"/>
        </w:rPr>
        <w:t xml:space="preserve"> (</w:t>
      </w:r>
      <w:r w:rsidR="009F36F9" w:rsidRPr="002D468A">
        <w:rPr>
          <w:color w:val="000000" w:themeColor="text1"/>
          <w:lang w:val="ro-RO" w:eastAsia="ro-MD"/>
        </w:rPr>
        <w:t>PD</w:t>
      </w:r>
      <w:r w:rsidR="006D4670" w:rsidRPr="002D468A">
        <w:rPr>
          <w:color w:val="000000" w:themeColor="text1"/>
          <w:lang w:val="ro-RO" w:eastAsia="ro-MD"/>
        </w:rPr>
        <w:t>)</w:t>
      </w:r>
      <w:r w:rsidR="009F36F9" w:rsidRPr="002D468A">
        <w:rPr>
          <w:color w:val="000000" w:themeColor="text1"/>
          <w:lang w:val="ro-RO" w:eastAsia="ro-MD"/>
        </w:rPr>
        <w:t xml:space="preserve"> și </w:t>
      </w:r>
      <w:r w:rsidR="005651CC" w:rsidRPr="002D468A">
        <w:rPr>
          <w:color w:val="000000" w:themeColor="text1"/>
          <w:lang w:val="ro-RO" w:eastAsia="ro-MD"/>
        </w:rPr>
        <w:t>pierderea în caz de nerambursare (</w:t>
      </w:r>
      <w:r w:rsidR="009F36F9" w:rsidRPr="002D468A">
        <w:rPr>
          <w:color w:val="000000" w:themeColor="text1"/>
          <w:lang w:val="ro-RO" w:eastAsia="ro-MD"/>
        </w:rPr>
        <w:t>LGD</w:t>
      </w:r>
      <w:r w:rsidR="005651CC" w:rsidRPr="002D468A">
        <w:rPr>
          <w:color w:val="000000" w:themeColor="text1"/>
          <w:lang w:val="ro-RO" w:eastAsia="ro-MD"/>
        </w:rPr>
        <w:t>)</w:t>
      </w:r>
      <w:r w:rsidR="009F36F9" w:rsidRPr="002D468A">
        <w:rPr>
          <w:color w:val="000000" w:themeColor="text1"/>
          <w:lang w:val="ro-RO" w:eastAsia="ro-MD"/>
        </w:rPr>
        <w:t xml:space="preserve"> aferenți expunerii-suport cu PD și LGD corespunzătoare care ar fi atribuite în cadrul abordării bazate pe modele interne de rating (</w:t>
      </w:r>
      <w:r w:rsidR="00474111" w:rsidRPr="002D468A">
        <w:rPr>
          <w:color w:val="000000" w:themeColor="text1"/>
          <w:lang w:val="ro-RO" w:eastAsia="ro-MD"/>
        </w:rPr>
        <w:t>în continuare</w:t>
      </w:r>
      <w:r w:rsidR="005651CC" w:rsidRPr="002D468A">
        <w:rPr>
          <w:color w:val="000000" w:themeColor="text1"/>
          <w:lang w:val="ro-RO" w:eastAsia="ro-MD"/>
        </w:rPr>
        <w:t xml:space="preserve"> </w:t>
      </w:r>
      <w:r w:rsidR="00474111" w:rsidRPr="002D468A">
        <w:rPr>
          <w:color w:val="000000" w:themeColor="text1"/>
          <w:lang w:val="ro-RO" w:eastAsia="ro-MD"/>
        </w:rPr>
        <w:t>-</w:t>
      </w:r>
      <w:r w:rsidR="009A01F2" w:rsidRPr="002D468A">
        <w:rPr>
          <w:color w:val="000000" w:themeColor="text1"/>
          <w:lang w:val="ro-RO" w:eastAsia="ro-MD"/>
        </w:rPr>
        <w:t xml:space="preserve"> </w:t>
      </w:r>
      <w:r w:rsidR="00C757F1" w:rsidRPr="002D468A">
        <w:rPr>
          <w:color w:val="000000" w:themeColor="text1"/>
          <w:lang w:val="ro-RO" w:eastAsia="ro-MD"/>
        </w:rPr>
        <w:t>abordarea</w:t>
      </w:r>
      <w:r w:rsidR="00474111" w:rsidRPr="002D468A">
        <w:rPr>
          <w:color w:val="000000" w:themeColor="text1"/>
          <w:lang w:val="ro-RO" w:eastAsia="ro-MD"/>
        </w:rPr>
        <w:t xml:space="preserve"> </w:t>
      </w:r>
      <w:r w:rsidR="009F36F9" w:rsidRPr="002D468A">
        <w:rPr>
          <w:color w:val="000000" w:themeColor="text1"/>
          <w:lang w:val="ro-RO" w:eastAsia="ro-MD"/>
        </w:rPr>
        <w:t>IRB), utilizând propriile estimări ale LGD, unei expuneri directe comparabile față de furnizorul de protecție</w:t>
      </w:r>
      <w:r w:rsidR="000100B5">
        <w:rPr>
          <w:color w:val="000000" w:themeColor="text1"/>
          <w:lang w:val="ro-RO" w:eastAsia="ro-MD"/>
        </w:rPr>
        <w:t>;</w:t>
      </w:r>
    </w:p>
    <w:p w14:paraId="0DED981B" w14:textId="69D89FFD" w:rsidR="004A0DD9" w:rsidRPr="002D468A" w:rsidRDefault="004A0DD9" w:rsidP="00C57CEE">
      <w:pPr>
        <w:pStyle w:val="ListParagraph"/>
        <w:tabs>
          <w:tab w:val="left" w:pos="426"/>
        </w:tabs>
        <w:ind w:left="0"/>
        <w:jc w:val="both"/>
        <w:rPr>
          <w:color w:val="000000" w:themeColor="text1"/>
          <w:lang w:val="ro-RO" w:eastAsia="ro-MD"/>
        </w:rPr>
      </w:pPr>
      <w:r w:rsidRPr="002D468A">
        <w:rPr>
          <w:i/>
          <w:iCs/>
          <w:color w:val="000000" w:themeColor="text1"/>
          <w:lang w:val="ro-RO" w:eastAsia="ro-MD"/>
        </w:rPr>
        <w:t>aur fizic</w:t>
      </w:r>
      <w:r w:rsidRPr="002D468A">
        <w:rPr>
          <w:color w:val="000000" w:themeColor="text1"/>
          <w:lang w:val="ro-RO" w:eastAsia="ro-MD"/>
        </w:rPr>
        <w:t xml:space="preserve"> - aur ca produs de bază, inclusiv bare, lingouri și monede de aur, general acceptate în mod normal de piața metalelor prețioase, acolo unde există piețe lichide de metale prețioase, și a căror valoare este determinată de valoarea conținutului de aur, definit de puritate și masă, și nu de interesul numismatic;</w:t>
      </w:r>
    </w:p>
    <w:p w14:paraId="725D0A82" w14:textId="6A351ADB" w:rsidR="00DA1DE5" w:rsidRPr="002D468A" w:rsidRDefault="00DA1DE5" w:rsidP="006D4DE6">
      <w:pPr>
        <w:pStyle w:val="ListParagraph"/>
        <w:tabs>
          <w:tab w:val="left" w:pos="0"/>
        </w:tabs>
        <w:ind w:left="0"/>
        <w:contextualSpacing w:val="0"/>
        <w:jc w:val="both"/>
        <w:rPr>
          <w:color w:val="000000" w:themeColor="text1"/>
          <w:lang w:val="ro-RO" w:eastAsia="ro-MD"/>
        </w:rPr>
      </w:pPr>
      <w:r w:rsidRPr="002D468A">
        <w:rPr>
          <w:color w:val="000000" w:themeColor="text1"/>
          <w:lang w:val="ro-RO" w:eastAsia="ro-MD"/>
        </w:rPr>
        <w:t>„</w:t>
      </w:r>
      <w:r w:rsidRPr="002D468A">
        <w:rPr>
          <w:i/>
          <w:iCs/>
          <w:color w:val="000000" w:themeColor="text1"/>
          <w:lang w:val="ro-RO" w:eastAsia="ro-MD"/>
        </w:rPr>
        <w:t>expunere garantată cu bunuri imobile</w:t>
      </w:r>
      <w:r w:rsidRPr="002D468A">
        <w:rPr>
          <w:color w:val="000000" w:themeColor="text1"/>
          <w:lang w:val="ro-RO" w:eastAsia="ro-MD"/>
        </w:rPr>
        <w:t>” sau „e</w:t>
      </w:r>
      <w:r w:rsidRPr="002D468A">
        <w:rPr>
          <w:i/>
          <w:iCs/>
          <w:color w:val="000000" w:themeColor="text1"/>
          <w:lang w:val="ro-RO" w:eastAsia="ro-MD"/>
        </w:rPr>
        <w:t>xpunere garantată cu ipoteci asupra bunurilor imobile</w:t>
      </w:r>
      <w:r w:rsidRPr="002D468A">
        <w:rPr>
          <w:color w:val="000000" w:themeColor="text1"/>
          <w:lang w:val="ro-RO" w:eastAsia="ro-MD"/>
        </w:rPr>
        <w:t>” sau „</w:t>
      </w:r>
      <w:r w:rsidRPr="002D468A">
        <w:rPr>
          <w:i/>
          <w:iCs/>
          <w:color w:val="000000" w:themeColor="text1"/>
          <w:lang w:val="ro-RO" w:eastAsia="ro-MD"/>
        </w:rPr>
        <w:t>expunere garantată cu garanții reale constând în bunuri imobile</w:t>
      </w:r>
      <w:r w:rsidRPr="002D468A">
        <w:rPr>
          <w:color w:val="000000" w:themeColor="text1"/>
          <w:lang w:val="ro-RO" w:eastAsia="ro-MD"/>
        </w:rPr>
        <w:t>” – o expunere garantată cu un bun imobil locativ sau un bun imobil comercial;</w:t>
      </w:r>
    </w:p>
    <w:p w14:paraId="4FD712B1" w14:textId="7594DB50" w:rsidR="00DA1DE5" w:rsidRPr="002D468A" w:rsidRDefault="00DA1DE5" w:rsidP="006D4DE6">
      <w:pPr>
        <w:pStyle w:val="ListParagraph"/>
        <w:tabs>
          <w:tab w:val="left" w:pos="0"/>
        </w:tabs>
        <w:ind w:left="0"/>
        <w:contextualSpacing w:val="0"/>
        <w:jc w:val="both"/>
        <w:rPr>
          <w:color w:val="000000" w:themeColor="text1"/>
          <w:lang w:val="ro-RO" w:eastAsia="ro-MD"/>
        </w:rPr>
      </w:pPr>
      <w:r w:rsidRPr="002D468A">
        <w:rPr>
          <w:color w:val="000000" w:themeColor="text1"/>
          <w:lang w:val="ro-RO" w:eastAsia="ro-MD"/>
        </w:rPr>
        <w:t>„</w:t>
      </w:r>
      <w:r w:rsidRPr="002D468A">
        <w:rPr>
          <w:i/>
          <w:iCs/>
          <w:color w:val="000000" w:themeColor="text1"/>
          <w:lang w:val="ro-RO" w:eastAsia="ro-MD"/>
        </w:rPr>
        <w:t>expunere garantată cu bunuri imobile comerciale</w:t>
      </w:r>
      <w:r w:rsidRPr="002D468A">
        <w:rPr>
          <w:color w:val="000000" w:themeColor="text1"/>
          <w:lang w:val="ro-RO" w:eastAsia="ro-MD"/>
        </w:rPr>
        <w:t>” sau „</w:t>
      </w:r>
      <w:r w:rsidRPr="002D468A">
        <w:rPr>
          <w:i/>
          <w:iCs/>
          <w:color w:val="000000" w:themeColor="text1"/>
          <w:lang w:val="ro-RO" w:eastAsia="ro-MD"/>
        </w:rPr>
        <w:t>expunere garantată cu ipoteci asupra bunurilor imobile comerciale</w:t>
      </w:r>
      <w:r w:rsidRPr="002D468A">
        <w:rPr>
          <w:color w:val="000000" w:themeColor="text1"/>
          <w:lang w:val="ro-RO" w:eastAsia="ro-MD"/>
        </w:rPr>
        <w:t>” – o expunere garantată cu un bun imobil comercial;</w:t>
      </w:r>
    </w:p>
    <w:p w14:paraId="2A4E741F" w14:textId="7C22EE01" w:rsidR="00DA1DE5" w:rsidRPr="002D468A" w:rsidRDefault="00DA1DE5" w:rsidP="006D4DE6">
      <w:pPr>
        <w:pStyle w:val="ListParagraph"/>
        <w:tabs>
          <w:tab w:val="left" w:pos="0"/>
        </w:tabs>
        <w:ind w:left="0"/>
        <w:contextualSpacing w:val="0"/>
        <w:jc w:val="both"/>
        <w:rPr>
          <w:color w:val="000000" w:themeColor="text1"/>
          <w:lang w:val="ro-RO" w:eastAsia="ro-MD"/>
        </w:rPr>
      </w:pPr>
      <w:r w:rsidRPr="002D468A">
        <w:rPr>
          <w:color w:val="000000" w:themeColor="text1"/>
          <w:lang w:val="ro-RO" w:eastAsia="ro-MD"/>
        </w:rPr>
        <w:t>„</w:t>
      </w:r>
      <w:r w:rsidRPr="002D468A">
        <w:rPr>
          <w:i/>
          <w:iCs/>
          <w:color w:val="000000" w:themeColor="text1"/>
          <w:lang w:val="ro-RO" w:eastAsia="ro-MD"/>
        </w:rPr>
        <w:t>expunere garantată cu bunuri imobile locative</w:t>
      </w:r>
      <w:r w:rsidRPr="002D468A">
        <w:rPr>
          <w:color w:val="000000" w:themeColor="text1"/>
          <w:lang w:val="ro-RO" w:eastAsia="ro-MD"/>
        </w:rPr>
        <w:t>” sau „</w:t>
      </w:r>
      <w:r w:rsidRPr="002D468A">
        <w:rPr>
          <w:i/>
          <w:iCs/>
          <w:color w:val="000000" w:themeColor="text1"/>
          <w:lang w:val="ro-RO" w:eastAsia="ro-MD"/>
        </w:rPr>
        <w:t>expunere garantată cu ipoteci asupra bunurilor imobile locative</w:t>
      </w:r>
      <w:r w:rsidRPr="002D468A">
        <w:rPr>
          <w:color w:val="000000" w:themeColor="text1"/>
          <w:lang w:val="ro-RO" w:eastAsia="ro-MD"/>
        </w:rPr>
        <w:t>” – o expunere garantată cu un bun imobil locativ;</w:t>
      </w:r>
    </w:p>
    <w:p w14:paraId="453705D0" w14:textId="626E21D5" w:rsidR="00C27C1F" w:rsidRPr="002D468A" w:rsidRDefault="00C01BE8" w:rsidP="006D4DE6">
      <w:pPr>
        <w:pStyle w:val="ListParagraph"/>
        <w:tabs>
          <w:tab w:val="left" w:pos="0"/>
        </w:tabs>
        <w:ind w:left="0"/>
        <w:contextualSpacing w:val="0"/>
        <w:jc w:val="both"/>
        <w:rPr>
          <w:color w:val="000000" w:themeColor="text1"/>
          <w:lang w:val="ro-RO" w:eastAsia="ro-MD"/>
        </w:rPr>
      </w:pPr>
      <w:r w:rsidRPr="002D468A">
        <w:rPr>
          <w:i/>
          <w:iCs/>
          <w:color w:val="000000" w:themeColor="text1"/>
          <w:lang w:val="ro-RO" w:eastAsia="ro-MD"/>
        </w:rPr>
        <w:t>valoarea bunurilor imobile</w:t>
      </w:r>
      <w:r w:rsidRPr="002D468A">
        <w:rPr>
          <w:color w:val="000000" w:themeColor="text1"/>
          <w:lang w:val="ro-RO" w:eastAsia="ro-MD"/>
        </w:rPr>
        <w:t xml:space="preserve"> - valoarea unui bun imobil locativ sau a unui bun imobil comercial determinată în conformitate cu punctele 107</w:t>
      </w:r>
      <w:r w:rsidRPr="002D468A">
        <w:rPr>
          <w:color w:val="000000" w:themeColor="text1"/>
          <w:vertAlign w:val="superscript"/>
          <w:lang w:val="ro-RO" w:eastAsia="ro-MD"/>
        </w:rPr>
        <w:t>1</w:t>
      </w:r>
      <w:r w:rsidRPr="002D468A">
        <w:rPr>
          <w:color w:val="000000" w:themeColor="text1"/>
          <w:lang w:val="ro-RO" w:eastAsia="ro-MD"/>
        </w:rPr>
        <w:t>-107</w:t>
      </w:r>
      <w:r w:rsidRPr="002D468A">
        <w:rPr>
          <w:color w:val="000000" w:themeColor="text1"/>
          <w:vertAlign w:val="superscript"/>
          <w:lang w:val="ro-RO" w:eastAsia="ro-MD"/>
        </w:rPr>
        <w:t>3</w:t>
      </w:r>
      <w:r w:rsidR="00313633" w:rsidRPr="002D468A">
        <w:rPr>
          <w:color w:val="000000" w:themeColor="text1"/>
          <w:lang w:val="ro-RO" w:eastAsia="ro-MD"/>
        </w:rPr>
        <w:t>.</w:t>
      </w:r>
      <w:r w:rsidRPr="002D468A">
        <w:rPr>
          <w:color w:val="000000" w:themeColor="text1"/>
          <w:lang w:val="ro-RO" w:eastAsia="ro-MD"/>
        </w:rPr>
        <w:t>”</w:t>
      </w:r>
      <w:r w:rsidR="00C27C1F" w:rsidRPr="002D468A">
        <w:rPr>
          <w:color w:val="000000" w:themeColor="text1"/>
          <w:lang w:val="ro-RO" w:eastAsia="ro-MD"/>
        </w:rPr>
        <w:t>;</w:t>
      </w:r>
    </w:p>
    <w:p w14:paraId="4788A398" w14:textId="3174F0F0" w:rsidR="00D90138" w:rsidRPr="002D468A" w:rsidRDefault="00C27C1F" w:rsidP="005651CC">
      <w:pPr>
        <w:pStyle w:val="ListParagraph"/>
        <w:numPr>
          <w:ilvl w:val="2"/>
          <w:numId w:val="27"/>
        </w:numPr>
        <w:tabs>
          <w:tab w:val="left" w:pos="0"/>
        </w:tabs>
        <w:ind w:left="0" w:firstLine="567"/>
        <w:contextualSpacing w:val="0"/>
        <w:jc w:val="both"/>
        <w:rPr>
          <w:color w:val="000000" w:themeColor="text1"/>
          <w:lang w:val="ro-MD"/>
        </w:rPr>
      </w:pPr>
      <w:r w:rsidRPr="002D468A">
        <w:rPr>
          <w:color w:val="000000" w:themeColor="text1"/>
          <w:lang w:val="ro-RO" w:eastAsia="ro-MD"/>
        </w:rPr>
        <w:t>noțiun</w:t>
      </w:r>
      <w:r w:rsidR="00DE0A3D" w:rsidRPr="002D468A">
        <w:rPr>
          <w:color w:val="000000" w:themeColor="text1"/>
          <w:lang w:val="ro-RO" w:eastAsia="ro-MD"/>
        </w:rPr>
        <w:t>ile</w:t>
      </w:r>
      <w:r w:rsidRPr="002D468A">
        <w:rPr>
          <w:color w:val="000000" w:themeColor="text1"/>
          <w:lang w:val="ro-RO" w:eastAsia="ro-MD"/>
        </w:rPr>
        <w:t xml:space="preserve"> „tranzacții de creditare în marjă”</w:t>
      </w:r>
      <w:r w:rsidR="00D52F10" w:rsidRPr="002D468A">
        <w:rPr>
          <w:color w:val="000000" w:themeColor="text1"/>
          <w:lang w:val="ro-RO" w:eastAsia="ro-MD"/>
        </w:rPr>
        <w:t>,</w:t>
      </w:r>
      <w:r w:rsidR="00DE0A3D" w:rsidRPr="002D468A">
        <w:rPr>
          <w:color w:val="000000" w:themeColor="text1"/>
          <w:lang w:val="ro-RO" w:eastAsia="ro-MD"/>
        </w:rPr>
        <w:t xml:space="preserve"> „contract în marjă (</w:t>
      </w:r>
      <w:proofErr w:type="spellStart"/>
      <w:r w:rsidR="00DE0A3D" w:rsidRPr="002D468A">
        <w:rPr>
          <w:color w:val="000000" w:themeColor="text1"/>
          <w:lang w:val="ro-RO" w:eastAsia="ro-MD"/>
        </w:rPr>
        <w:t>margin</w:t>
      </w:r>
      <w:proofErr w:type="spellEnd"/>
      <w:r w:rsidR="00DE0A3D" w:rsidRPr="002D468A">
        <w:rPr>
          <w:color w:val="000000" w:themeColor="text1"/>
          <w:lang w:val="ro-RO" w:eastAsia="ro-MD"/>
        </w:rPr>
        <w:t xml:space="preserve"> agreement)”</w:t>
      </w:r>
      <w:r w:rsidR="00D52F10" w:rsidRPr="002D468A">
        <w:rPr>
          <w:color w:val="000000" w:themeColor="text1"/>
          <w:lang w:val="ro-RO" w:eastAsia="ro-MD"/>
        </w:rPr>
        <w:t xml:space="preserve"> și prag de marjă (</w:t>
      </w:r>
      <w:proofErr w:type="spellStart"/>
      <w:r w:rsidR="00D52F10" w:rsidRPr="002D468A">
        <w:rPr>
          <w:color w:val="000000" w:themeColor="text1"/>
          <w:lang w:val="ro-RO" w:eastAsia="ro-MD"/>
        </w:rPr>
        <w:t>margin</w:t>
      </w:r>
      <w:proofErr w:type="spellEnd"/>
      <w:r w:rsidR="00D52F10" w:rsidRPr="002D468A">
        <w:rPr>
          <w:color w:val="000000" w:themeColor="text1"/>
          <w:lang w:val="ro-RO" w:eastAsia="ro-MD"/>
        </w:rPr>
        <w:t xml:space="preserve"> </w:t>
      </w:r>
      <w:proofErr w:type="spellStart"/>
      <w:r w:rsidR="00D52F10" w:rsidRPr="002D468A">
        <w:rPr>
          <w:color w:val="000000" w:themeColor="text1"/>
          <w:lang w:val="ro-RO" w:eastAsia="ro-MD"/>
        </w:rPr>
        <w:t>threshold</w:t>
      </w:r>
      <w:proofErr w:type="spellEnd"/>
      <w:r w:rsidR="00D52F10" w:rsidRPr="002D468A">
        <w:rPr>
          <w:color w:val="000000" w:themeColor="text1"/>
          <w:lang w:val="ro-RO" w:eastAsia="ro-MD"/>
        </w:rPr>
        <w:t>)</w:t>
      </w:r>
      <w:r w:rsidR="00DA1DE5" w:rsidRPr="002D468A">
        <w:rPr>
          <w:color w:val="000000" w:themeColor="text1"/>
          <w:lang w:val="ro-RO" w:eastAsia="ro-MD"/>
        </w:rPr>
        <w:t>”</w:t>
      </w:r>
      <w:r w:rsidR="00DE0A3D" w:rsidRPr="002D468A">
        <w:rPr>
          <w:color w:val="000000" w:themeColor="text1"/>
          <w:lang w:val="ro-RO" w:eastAsia="ro-MD"/>
        </w:rPr>
        <w:t xml:space="preserve"> </w:t>
      </w:r>
      <w:r w:rsidRPr="002D468A">
        <w:rPr>
          <w:color w:val="000000" w:themeColor="text1"/>
          <w:lang w:val="ro-RO" w:eastAsia="ro-MD"/>
        </w:rPr>
        <w:t xml:space="preserve">se </w:t>
      </w:r>
      <w:r w:rsidR="00850DAD" w:rsidRPr="002D468A">
        <w:rPr>
          <w:color w:val="000000" w:themeColor="text1"/>
          <w:lang w:val="ro-RO" w:eastAsia="ro-MD"/>
        </w:rPr>
        <w:t>exclud</w:t>
      </w:r>
      <w:r w:rsidR="00C01BE8" w:rsidRPr="002D468A">
        <w:rPr>
          <w:color w:val="000000" w:themeColor="text1"/>
          <w:lang w:val="ro-RO" w:eastAsia="ro-MD"/>
        </w:rPr>
        <w:t>.</w:t>
      </w:r>
    </w:p>
    <w:p w14:paraId="3A0ABBF5" w14:textId="2D281AF9" w:rsidR="00827160" w:rsidRPr="002D468A" w:rsidRDefault="00827160" w:rsidP="00DD1675">
      <w:pPr>
        <w:pStyle w:val="ListParagraph"/>
        <w:numPr>
          <w:ilvl w:val="1"/>
          <w:numId w:val="27"/>
        </w:numPr>
        <w:tabs>
          <w:tab w:val="left" w:pos="567"/>
        </w:tabs>
        <w:spacing w:before="80"/>
        <w:ind w:left="0" w:firstLine="567"/>
        <w:contextualSpacing w:val="0"/>
        <w:jc w:val="both"/>
        <w:rPr>
          <w:color w:val="000000" w:themeColor="text1"/>
          <w:lang w:val="ro-MD"/>
        </w:rPr>
      </w:pPr>
      <w:r w:rsidRPr="002D468A">
        <w:rPr>
          <w:color w:val="000000" w:themeColor="text1"/>
          <w:lang w:val="ro-MD"/>
        </w:rPr>
        <w:t>P</w:t>
      </w:r>
      <w:r w:rsidR="003D2278" w:rsidRPr="002D468A">
        <w:rPr>
          <w:color w:val="000000" w:themeColor="text1"/>
          <w:lang w:val="ro-MD"/>
        </w:rPr>
        <w:t xml:space="preserve">unctul </w:t>
      </w:r>
      <w:r w:rsidR="00313633" w:rsidRPr="002D468A">
        <w:rPr>
          <w:color w:val="000000" w:themeColor="text1"/>
          <w:lang w:val="ro-MD"/>
        </w:rPr>
        <w:t>4</w:t>
      </w:r>
      <w:r w:rsidR="003D2278" w:rsidRPr="002D468A">
        <w:rPr>
          <w:color w:val="000000" w:themeColor="text1"/>
          <w:lang w:val="ro-MD"/>
        </w:rPr>
        <w:t xml:space="preserve"> </w:t>
      </w:r>
      <w:r w:rsidRPr="002D468A">
        <w:rPr>
          <w:color w:val="000000" w:themeColor="text1"/>
          <w:lang w:val="ro-MD"/>
        </w:rPr>
        <w:t>va avea următorul cuprins:</w:t>
      </w:r>
    </w:p>
    <w:p w14:paraId="332FD3C8" w14:textId="779E0C1E" w:rsidR="003D2278" w:rsidRPr="002D468A" w:rsidRDefault="003D2278" w:rsidP="00827160">
      <w:pPr>
        <w:tabs>
          <w:tab w:val="left" w:pos="567"/>
        </w:tabs>
        <w:spacing w:before="80"/>
        <w:jc w:val="both"/>
        <w:rPr>
          <w:color w:val="000000" w:themeColor="text1"/>
          <w:lang w:val="ro-MD"/>
        </w:rPr>
      </w:pPr>
      <w:r w:rsidRPr="002D468A">
        <w:rPr>
          <w:color w:val="000000" w:themeColor="text1"/>
          <w:lang w:val="ro-MD"/>
        </w:rPr>
        <w:t>„</w:t>
      </w:r>
      <w:r w:rsidR="00B752F8" w:rsidRPr="002D468A">
        <w:rPr>
          <w:color w:val="000000" w:themeColor="text1"/>
          <w:lang w:val="ro-RO" w:eastAsia="ro-MD"/>
        </w:rPr>
        <w:t>În cazul expunerii pentru care o bancă aplică abordarea standardizată în temeiul Regulamentului cu privire la tratamentul riscului de credit pentru bănci potrivit abordării standardizate, aprobat prin Hotărârea Comitetului executiv al Băncii Naționale a Moldovei nr.111/2018 (în continuare - Regulamentul nr.111/2018) sau abordarea IRB în temeiul actului normativ al Băncii Naționale a Moldovei aferent tratamentului riscului de credit potrivit abordării bazate pe modele interne de rating, fără a utiliza însă propriile estimări ale LGD, banca poate recurge la diminuarea riscului de credit în conformitate cu prezentul regulament la calcularea valorilor ponderate la risc ale expunerilor în sensul punctului 132 subpunctele 1) și 7) din Regulamentul cu privire la fondurile proprii ale băncilor și cerințele de capital, aprobat prin Hotărârea Comitetului executiv al Băncii Naționale a Moldovei nr.109/2018 (în continuare – Regulamentul 109/2018) și după caz a cuantumurilor pierderilor așteptate în scopul punct</w:t>
      </w:r>
      <w:r w:rsidR="00D932DC" w:rsidRPr="002D468A">
        <w:rPr>
          <w:color w:val="000000" w:themeColor="text1"/>
          <w:lang w:val="ro-RO" w:eastAsia="ro-MD"/>
        </w:rPr>
        <w:t>ului</w:t>
      </w:r>
      <w:r w:rsidR="00B752F8" w:rsidRPr="002D468A">
        <w:rPr>
          <w:color w:val="000000" w:themeColor="text1"/>
          <w:lang w:val="ro-RO" w:eastAsia="ro-MD"/>
        </w:rPr>
        <w:t xml:space="preserve"> 30 </w:t>
      </w:r>
      <w:r w:rsidR="00D932DC" w:rsidRPr="002D468A">
        <w:rPr>
          <w:color w:val="000000" w:themeColor="text1"/>
          <w:lang w:val="ro-RO" w:eastAsia="ro-MD"/>
        </w:rPr>
        <w:t>subpunctul</w:t>
      </w:r>
      <w:r w:rsidR="00B752F8" w:rsidRPr="002D468A">
        <w:rPr>
          <w:color w:val="000000" w:themeColor="text1"/>
          <w:lang w:val="ro-RO" w:eastAsia="ro-MD"/>
        </w:rPr>
        <w:t xml:space="preserve"> 3</w:t>
      </w:r>
      <w:r w:rsidR="00B752F8" w:rsidRPr="002D468A">
        <w:rPr>
          <w:color w:val="000000" w:themeColor="text1"/>
          <w:vertAlign w:val="superscript"/>
          <w:lang w:val="ro-RO" w:eastAsia="ro-MD"/>
        </w:rPr>
        <w:t>1</w:t>
      </w:r>
      <w:r w:rsidR="00B752F8" w:rsidRPr="002D468A">
        <w:rPr>
          <w:color w:val="000000" w:themeColor="text1"/>
          <w:lang w:val="ro-RO" w:eastAsia="ro-MD"/>
        </w:rPr>
        <w:t xml:space="preserve">) și </w:t>
      </w:r>
      <w:r w:rsidR="00D932DC" w:rsidRPr="002D468A">
        <w:rPr>
          <w:color w:val="000000" w:themeColor="text1"/>
          <w:lang w:val="ro-RO" w:eastAsia="ro-MD"/>
        </w:rPr>
        <w:t xml:space="preserve">punctului </w:t>
      </w:r>
      <w:r w:rsidR="00B752F8" w:rsidRPr="002D468A">
        <w:rPr>
          <w:color w:val="000000" w:themeColor="text1"/>
          <w:lang w:val="ro-RO" w:eastAsia="ro-MD"/>
        </w:rPr>
        <w:t>96 subpunctul 4) din regulamentul menționat.</w:t>
      </w:r>
      <w:r w:rsidRPr="002D468A">
        <w:rPr>
          <w:color w:val="000000" w:themeColor="text1"/>
          <w:lang w:val="ro-MD"/>
        </w:rPr>
        <w:t>”.</w:t>
      </w:r>
    </w:p>
    <w:p w14:paraId="0E7C0A01" w14:textId="75D0E442" w:rsidR="0046367B" w:rsidRPr="002D468A" w:rsidRDefault="0046367B" w:rsidP="0046367B">
      <w:pPr>
        <w:pStyle w:val="ListParagraph"/>
        <w:numPr>
          <w:ilvl w:val="1"/>
          <w:numId w:val="27"/>
        </w:numPr>
        <w:tabs>
          <w:tab w:val="left" w:pos="567"/>
        </w:tabs>
        <w:spacing w:before="80"/>
        <w:ind w:left="0" w:firstLine="567"/>
        <w:contextualSpacing w:val="0"/>
        <w:jc w:val="both"/>
        <w:rPr>
          <w:color w:val="000000" w:themeColor="text1"/>
          <w:lang w:val="ro-MD"/>
        </w:rPr>
      </w:pPr>
      <w:r w:rsidRPr="002D468A">
        <w:rPr>
          <w:color w:val="000000" w:themeColor="text1"/>
          <w:lang w:val="ro-MD"/>
        </w:rPr>
        <w:t xml:space="preserve">Se </w:t>
      </w:r>
      <w:r w:rsidR="00A41E26" w:rsidRPr="002D468A">
        <w:rPr>
          <w:color w:val="000000" w:themeColor="text1"/>
          <w:lang w:val="ro-MD"/>
        </w:rPr>
        <w:t>completează</w:t>
      </w:r>
      <w:r w:rsidRPr="002D468A">
        <w:rPr>
          <w:color w:val="000000" w:themeColor="text1"/>
          <w:lang w:val="ro-RO"/>
        </w:rPr>
        <w:t xml:space="preserve"> cu punctele 4</w:t>
      </w:r>
      <w:r w:rsidRPr="002D468A">
        <w:rPr>
          <w:color w:val="000000" w:themeColor="text1"/>
          <w:vertAlign w:val="superscript"/>
          <w:lang w:val="ro-RO"/>
        </w:rPr>
        <w:t>1</w:t>
      </w:r>
      <w:r w:rsidRPr="002D468A">
        <w:rPr>
          <w:color w:val="000000" w:themeColor="text1"/>
          <w:lang w:val="ro-RO"/>
        </w:rPr>
        <w:t>-4</w:t>
      </w:r>
      <w:r w:rsidR="000D08F8" w:rsidRPr="002D468A">
        <w:rPr>
          <w:color w:val="000000" w:themeColor="text1"/>
          <w:vertAlign w:val="superscript"/>
          <w:lang w:val="ro-RO"/>
        </w:rPr>
        <w:t>2</w:t>
      </w:r>
      <w:r w:rsidRPr="002D468A">
        <w:rPr>
          <w:color w:val="000000" w:themeColor="text1"/>
          <w:lang w:val="ro-RO"/>
        </w:rPr>
        <w:t xml:space="preserve"> cu următorul cuprins:</w:t>
      </w:r>
    </w:p>
    <w:p w14:paraId="7CA269D5" w14:textId="3D02F7AE" w:rsidR="0046367B" w:rsidRPr="002D468A" w:rsidRDefault="0046367B" w:rsidP="0046367B">
      <w:pPr>
        <w:jc w:val="both"/>
        <w:rPr>
          <w:color w:val="000000" w:themeColor="text1"/>
          <w:lang w:val="ro-RO" w:eastAsia="ro-MD"/>
        </w:rPr>
      </w:pPr>
      <w:r w:rsidRPr="002D468A">
        <w:rPr>
          <w:color w:val="000000" w:themeColor="text1"/>
          <w:lang w:val="ro-MD"/>
        </w:rPr>
        <w:t>„</w:t>
      </w:r>
      <w:bookmarkStart w:id="2" w:name="_Hlk227773707"/>
      <w:r w:rsidRPr="002D468A">
        <w:rPr>
          <w:b/>
          <w:bCs/>
          <w:color w:val="000000" w:themeColor="text1"/>
          <w:lang w:val="ro-RO" w:eastAsia="ro-MD"/>
        </w:rPr>
        <w:t>4</w:t>
      </w:r>
      <w:r w:rsidRPr="002D468A">
        <w:rPr>
          <w:b/>
          <w:bCs/>
          <w:color w:val="000000" w:themeColor="text1"/>
          <w:vertAlign w:val="superscript"/>
          <w:lang w:val="ro-RO" w:eastAsia="ro-MD"/>
        </w:rPr>
        <w:t>1</w:t>
      </w:r>
      <w:r w:rsidRPr="002D468A">
        <w:rPr>
          <w:b/>
          <w:bCs/>
          <w:color w:val="000000" w:themeColor="text1"/>
          <w:lang w:val="ro-RO" w:eastAsia="ro-MD"/>
        </w:rPr>
        <w:t>.</w:t>
      </w:r>
      <w:r w:rsidRPr="002D468A">
        <w:rPr>
          <w:color w:val="000000" w:themeColor="text1"/>
          <w:lang w:val="ro-RO" w:eastAsia="ro-MD"/>
        </w:rPr>
        <w:t xml:space="preserve"> În cazul unei expuneri pentru care banca aplică abordarea IRB prin utilizarea propriilor estimări ale LGD, banca poate lua în considerare efectul protecției finanțate a creditului în conformitate cu actul normativ al Băncii Naționale a Moldovei aferent tratamentului riscului de credit potrivit abordării bazate pe modele interne de rating la calcularea valorilor ponderate la risc ale expunerilor </w:t>
      </w:r>
      <w:r w:rsidRPr="002D468A">
        <w:rPr>
          <w:color w:val="000000" w:themeColor="text1"/>
          <w:lang w:val="ro-RO" w:eastAsia="ro-MD"/>
        </w:rPr>
        <w:lastRenderedPageBreak/>
        <w:t xml:space="preserve">și, după caz, a cuantumurilor pierderilor așteptate în scopul </w:t>
      </w:r>
      <w:r w:rsidR="00D932DC" w:rsidRPr="002D468A">
        <w:rPr>
          <w:color w:val="000000" w:themeColor="text1"/>
          <w:lang w:val="ro-RO" w:eastAsia="ro-MD"/>
        </w:rPr>
        <w:t>punctului 30 subpunctul 3</w:t>
      </w:r>
      <w:r w:rsidR="00D932DC" w:rsidRPr="002D468A">
        <w:rPr>
          <w:color w:val="000000" w:themeColor="text1"/>
          <w:vertAlign w:val="superscript"/>
          <w:lang w:val="ro-RO" w:eastAsia="ro-MD"/>
        </w:rPr>
        <w:t>1</w:t>
      </w:r>
      <w:r w:rsidR="00D932DC" w:rsidRPr="002D468A">
        <w:rPr>
          <w:color w:val="000000" w:themeColor="text1"/>
          <w:lang w:val="ro-RO" w:eastAsia="ro-MD"/>
        </w:rPr>
        <w:t xml:space="preserve">) și punctului 96 subpunctul 4) din </w:t>
      </w:r>
      <w:r w:rsidRPr="002D468A">
        <w:rPr>
          <w:color w:val="000000" w:themeColor="text1"/>
          <w:lang w:val="ro-RO" w:eastAsia="ro-MD"/>
        </w:rPr>
        <w:t>Regulamentului nr.109/2018.</w:t>
      </w:r>
    </w:p>
    <w:p w14:paraId="7DC30F74" w14:textId="40AA8B75" w:rsidR="0046367B" w:rsidRPr="002D468A" w:rsidRDefault="0046367B" w:rsidP="0046367B">
      <w:pPr>
        <w:jc w:val="both"/>
        <w:rPr>
          <w:color w:val="000000" w:themeColor="text1"/>
          <w:lang w:val="ro-RO" w:eastAsia="ro-MD"/>
        </w:rPr>
      </w:pPr>
      <w:r w:rsidRPr="002D468A">
        <w:rPr>
          <w:b/>
          <w:bCs/>
          <w:color w:val="000000" w:themeColor="text1"/>
          <w:lang w:val="ro-RO" w:eastAsia="ro-MD"/>
        </w:rPr>
        <w:t>4</w:t>
      </w:r>
      <w:r w:rsidRPr="002D468A">
        <w:rPr>
          <w:b/>
          <w:bCs/>
          <w:color w:val="000000" w:themeColor="text1"/>
          <w:vertAlign w:val="superscript"/>
          <w:lang w:val="ro-RO" w:eastAsia="ro-MD"/>
        </w:rPr>
        <w:t>2</w:t>
      </w:r>
      <w:r w:rsidRPr="002D468A">
        <w:rPr>
          <w:b/>
          <w:bCs/>
          <w:color w:val="000000" w:themeColor="text1"/>
          <w:lang w:val="ro-RO" w:eastAsia="ro-MD"/>
        </w:rPr>
        <w:t>.</w:t>
      </w:r>
      <w:r w:rsidRPr="002D468A">
        <w:rPr>
          <w:color w:val="000000" w:themeColor="text1"/>
          <w:lang w:val="ro-RO" w:eastAsia="ro-MD"/>
        </w:rPr>
        <w:t xml:space="preserve"> În cazul în care banca aplică abordarea IRB prin utilizarea propriilor estimări ale LGD atât pentru expunerea inițială, cât și pentru expunerile directe comparabile față de furnizorul de protecție, banca poate lua în considerare efectul protecției nefinanțate a creditului în conformitate cu actul normativ al Băncii Naționale a Moldovei aferent tratamentului riscului de credit potrivit abordării bazate pe modele interne de rating la calcularea valorilor ponderate la risc ale expunerilor și, după caz, a cuantumurilor pierderilor așteptate în scopul Regulamentului nr.109/2018. În toate celelalte cazuri, în aceste scopuri, banca poate lua în considerare efectul protecției nefinanțate a creditului la calcularea valorilor ponderate la risc ale expunerilor și a cuantumurilor pierderilor așteptate în conformitate cu prezentul regulament.</w:t>
      </w:r>
      <w:r w:rsidR="000100B5">
        <w:rPr>
          <w:color w:val="000000" w:themeColor="text1"/>
          <w:lang w:val="ro-RO" w:eastAsia="ro-MD"/>
        </w:rPr>
        <w:t>”.</w:t>
      </w:r>
    </w:p>
    <w:bookmarkEnd w:id="2"/>
    <w:p w14:paraId="08F768DB" w14:textId="1DAB07E6" w:rsidR="007417B9" w:rsidRPr="002D468A" w:rsidRDefault="003D2278" w:rsidP="00DD1675">
      <w:pPr>
        <w:pStyle w:val="ListParagraph"/>
        <w:numPr>
          <w:ilvl w:val="1"/>
          <w:numId w:val="27"/>
        </w:numPr>
        <w:tabs>
          <w:tab w:val="left" w:pos="567"/>
        </w:tabs>
        <w:spacing w:before="80"/>
        <w:ind w:left="0" w:firstLine="567"/>
        <w:contextualSpacing w:val="0"/>
        <w:jc w:val="both"/>
        <w:rPr>
          <w:color w:val="000000" w:themeColor="text1"/>
          <w:lang w:val="ro-MD"/>
        </w:rPr>
      </w:pPr>
      <w:r w:rsidRPr="002D468A">
        <w:rPr>
          <w:color w:val="000000" w:themeColor="text1"/>
          <w:lang w:val="ro-MD"/>
        </w:rPr>
        <w:t>La p</w:t>
      </w:r>
      <w:r w:rsidR="007B0AFF" w:rsidRPr="002D468A">
        <w:rPr>
          <w:color w:val="000000" w:themeColor="text1"/>
          <w:lang w:val="ro-MD"/>
        </w:rPr>
        <w:t>unctul 6</w:t>
      </w:r>
      <w:r w:rsidR="00274FFD" w:rsidRPr="002D468A">
        <w:rPr>
          <w:color w:val="000000" w:themeColor="text1"/>
          <w:lang w:val="ro-MD"/>
        </w:rPr>
        <w:t>,</w:t>
      </w:r>
      <w:r w:rsidR="004D47EB" w:rsidRPr="002D468A">
        <w:rPr>
          <w:color w:val="000000" w:themeColor="text1"/>
          <w:lang w:val="ro-MD"/>
        </w:rPr>
        <w:t xml:space="preserve"> după textul „Regulamentului nr.111/2018” se completează cu textul „sau actului normativ al Băncii Naționale a Moldovei aferent tratamentului riscului de credit potrivit </w:t>
      </w:r>
      <w:r w:rsidR="00A027A5" w:rsidRPr="002D468A">
        <w:rPr>
          <w:color w:val="000000" w:themeColor="text1"/>
          <w:lang w:val="ro-RO" w:eastAsia="ro-MD"/>
        </w:rPr>
        <w:t>abordării bazate pe modele interne de rating</w:t>
      </w:r>
      <w:r w:rsidR="004D47EB" w:rsidRPr="002D468A">
        <w:rPr>
          <w:color w:val="000000" w:themeColor="text1"/>
          <w:lang w:val="ro-MD"/>
        </w:rPr>
        <w:t>, după caz,”.</w:t>
      </w:r>
    </w:p>
    <w:p w14:paraId="4138DD61" w14:textId="492AA195" w:rsidR="007E133D" w:rsidRPr="002D468A" w:rsidRDefault="007E133D" w:rsidP="00DD1675">
      <w:pPr>
        <w:pStyle w:val="ListParagraph"/>
        <w:numPr>
          <w:ilvl w:val="1"/>
          <w:numId w:val="27"/>
        </w:numPr>
        <w:tabs>
          <w:tab w:val="left" w:pos="567"/>
        </w:tabs>
        <w:spacing w:before="80"/>
        <w:ind w:left="0" w:firstLine="567"/>
        <w:contextualSpacing w:val="0"/>
        <w:jc w:val="both"/>
        <w:rPr>
          <w:color w:val="000000" w:themeColor="text1"/>
          <w:lang w:val="ro-MD"/>
        </w:rPr>
      </w:pPr>
      <w:r w:rsidRPr="002D468A">
        <w:rPr>
          <w:color w:val="000000" w:themeColor="text1"/>
          <w:lang w:val="ro-MD"/>
        </w:rPr>
        <w:t xml:space="preserve">La punctul </w:t>
      </w:r>
      <w:r w:rsidR="004D47EB" w:rsidRPr="002D468A">
        <w:rPr>
          <w:color w:val="000000" w:themeColor="text1"/>
          <w:lang w:val="ro-MD"/>
        </w:rPr>
        <w:t>7</w:t>
      </w:r>
      <w:r w:rsidRPr="002D468A">
        <w:rPr>
          <w:color w:val="000000" w:themeColor="text1"/>
          <w:lang w:val="ro-MD"/>
        </w:rPr>
        <w:t>:</w:t>
      </w:r>
    </w:p>
    <w:p w14:paraId="1575701E" w14:textId="02AB6878" w:rsidR="007E133D" w:rsidRPr="002D468A" w:rsidRDefault="004D47EB" w:rsidP="00F64E3B">
      <w:pPr>
        <w:pStyle w:val="ListParagraph"/>
        <w:numPr>
          <w:ilvl w:val="2"/>
          <w:numId w:val="27"/>
        </w:numPr>
        <w:tabs>
          <w:tab w:val="left" w:pos="567"/>
        </w:tabs>
        <w:ind w:left="0" w:firstLine="567"/>
        <w:jc w:val="both"/>
        <w:rPr>
          <w:color w:val="000000" w:themeColor="text1"/>
          <w:lang w:val="ro-MD"/>
        </w:rPr>
      </w:pPr>
      <w:r w:rsidRPr="002D468A">
        <w:rPr>
          <w:color w:val="000000" w:themeColor="text1"/>
          <w:lang w:val="ro-MD"/>
        </w:rPr>
        <w:t xml:space="preserve">După cuvintele „potrivit abordării standardizate” se completează cu cuvintele </w:t>
      </w:r>
      <w:r w:rsidR="007E133D" w:rsidRPr="002D468A">
        <w:rPr>
          <w:color w:val="000000" w:themeColor="text1"/>
          <w:lang w:val="ro-MD"/>
        </w:rPr>
        <w:t>„</w:t>
      </w:r>
      <w:r w:rsidRPr="002D468A">
        <w:rPr>
          <w:color w:val="000000" w:themeColor="text1"/>
          <w:lang w:val="ro-MD"/>
        </w:rPr>
        <w:t>și calculul cuantumurilor ponderate la risc ale expunerilor și al cuantumurilor pierderilor așteptate potrivit abordării IRB</w:t>
      </w:r>
      <w:r w:rsidR="007E133D" w:rsidRPr="002D468A">
        <w:rPr>
          <w:color w:val="000000" w:themeColor="text1"/>
          <w:lang w:val="ro-MD"/>
        </w:rPr>
        <w:t>”;</w:t>
      </w:r>
    </w:p>
    <w:p w14:paraId="585DDF90" w14:textId="50BBF222" w:rsidR="007E133D" w:rsidRPr="002D468A" w:rsidRDefault="004D47EB" w:rsidP="00FE32A6">
      <w:pPr>
        <w:pStyle w:val="ListParagraph"/>
        <w:numPr>
          <w:ilvl w:val="2"/>
          <w:numId w:val="27"/>
        </w:numPr>
        <w:tabs>
          <w:tab w:val="left" w:pos="567"/>
        </w:tabs>
        <w:ind w:left="0" w:firstLine="567"/>
        <w:jc w:val="both"/>
        <w:rPr>
          <w:color w:val="000000" w:themeColor="text1"/>
          <w:lang w:val="ro-MD"/>
        </w:rPr>
      </w:pPr>
      <w:r w:rsidRPr="002D468A">
        <w:rPr>
          <w:color w:val="000000" w:themeColor="text1"/>
          <w:lang w:val="ro-MD"/>
        </w:rPr>
        <w:t>textul</w:t>
      </w:r>
      <w:r w:rsidR="007E133D" w:rsidRPr="002D468A">
        <w:rPr>
          <w:color w:val="000000" w:themeColor="text1"/>
          <w:lang w:val="ro-MD"/>
        </w:rPr>
        <w:t xml:space="preserve"> </w:t>
      </w:r>
      <w:r w:rsidR="007C6084" w:rsidRPr="002D468A">
        <w:rPr>
          <w:color w:val="000000" w:themeColor="text1"/>
          <w:lang w:val="ro-MD"/>
        </w:rPr>
        <w:t>„</w:t>
      </w:r>
      <w:r w:rsidRPr="002D468A">
        <w:rPr>
          <w:color w:val="000000" w:themeColor="text1"/>
          <w:lang w:val="ro-MD"/>
        </w:rPr>
        <w:t>și VI</w:t>
      </w:r>
      <w:r w:rsidR="007E133D" w:rsidRPr="002D468A">
        <w:rPr>
          <w:color w:val="000000" w:themeColor="text1"/>
          <w:lang w:val="ro-MD"/>
        </w:rPr>
        <w:t>”</w:t>
      </w:r>
      <w:r w:rsidR="007C6084" w:rsidRPr="002D468A">
        <w:rPr>
          <w:color w:val="000000" w:themeColor="text1"/>
          <w:lang w:val="ro-MD"/>
        </w:rPr>
        <w:t xml:space="preserve"> se </w:t>
      </w:r>
      <w:r w:rsidRPr="002D468A">
        <w:rPr>
          <w:color w:val="000000" w:themeColor="text1"/>
          <w:lang w:val="ro-MD"/>
        </w:rPr>
        <w:t>exclude</w:t>
      </w:r>
      <w:r w:rsidR="007E133D" w:rsidRPr="002D468A">
        <w:rPr>
          <w:color w:val="000000" w:themeColor="text1"/>
          <w:lang w:val="ro-MD"/>
        </w:rPr>
        <w:t>;</w:t>
      </w:r>
    </w:p>
    <w:p w14:paraId="58503B1A" w14:textId="4BA02003" w:rsidR="003A1338" w:rsidRPr="002D468A" w:rsidRDefault="00961330" w:rsidP="00DD1675">
      <w:pPr>
        <w:pStyle w:val="ListParagraph"/>
        <w:numPr>
          <w:ilvl w:val="1"/>
          <w:numId w:val="27"/>
        </w:numPr>
        <w:tabs>
          <w:tab w:val="left" w:pos="567"/>
        </w:tabs>
        <w:spacing w:before="80"/>
        <w:ind w:left="0" w:firstLine="567"/>
        <w:contextualSpacing w:val="0"/>
        <w:jc w:val="both"/>
        <w:rPr>
          <w:color w:val="000000" w:themeColor="text1"/>
          <w:lang w:val="ro-MD"/>
        </w:rPr>
      </w:pPr>
      <w:r w:rsidRPr="002D468A">
        <w:rPr>
          <w:color w:val="000000" w:themeColor="text1"/>
          <w:lang w:val="ro-MD"/>
        </w:rPr>
        <w:t>La punct</w:t>
      </w:r>
      <w:r w:rsidR="00555117" w:rsidRPr="002D468A">
        <w:rPr>
          <w:color w:val="000000" w:themeColor="text1"/>
          <w:lang w:val="ro-MD"/>
        </w:rPr>
        <w:t>ele</w:t>
      </w:r>
      <w:r w:rsidRPr="002D468A">
        <w:rPr>
          <w:color w:val="000000" w:themeColor="text1"/>
          <w:lang w:val="ro-MD"/>
        </w:rPr>
        <w:t xml:space="preserve"> </w:t>
      </w:r>
      <w:r w:rsidR="00555117" w:rsidRPr="002D468A">
        <w:rPr>
          <w:color w:val="000000" w:themeColor="text1"/>
          <w:lang w:val="ro-MD"/>
        </w:rPr>
        <w:t>9 și 10</w:t>
      </w:r>
      <w:r w:rsidR="00274FFD" w:rsidRPr="002D468A">
        <w:rPr>
          <w:color w:val="000000" w:themeColor="text1"/>
          <w:lang w:val="ro-MD"/>
        </w:rPr>
        <w:t>,</w:t>
      </w:r>
      <w:r w:rsidR="00A40A05" w:rsidRPr="002D468A">
        <w:rPr>
          <w:color w:val="000000" w:themeColor="text1"/>
          <w:lang w:val="ro-MD"/>
        </w:rPr>
        <w:t xml:space="preserve"> </w:t>
      </w:r>
      <w:r w:rsidR="00555117" w:rsidRPr="002D468A">
        <w:rPr>
          <w:color w:val="000000" w:themeColor="text1"/>
          <w:lang w:val="ro-MD"/>
        </w:rPr>
        <w:t>după cuvintele</w:t>
      </w:r>
      <w:r w:rsidR="003E6D65" w:rsidRPr="002D468A">
        <w:rPr>
          <w:color w:val="000000" w:themeColor="text1"/>
          <w:lang w:val="ro-MD"/>
        </w:rPr>
        <w:t xml:space="preserve"> </w:t>
      </w:r>
      <w:r w:rsidR="00A40A05" w:rsidRPr="002D468A">
        <w:rPr>
          <w:color w:val="000000" w:themeColor="text1"/>
          <w:lang w:val="ro-MD"/>
        </w:rPr>
        <w:t>„</w:t>
      </w:r>
      <w:r w:rsidR="00555117" w:rsidRPr="002D468A">
        <w:rPr>
          <w:color w:val="000000" w:themeColor="text1"/>
          <w:lang w:val="ro-MD"/>
        </w:rPr>
        <w:t>În cazul în care o bancă</w:t>
      </w:r>
      <w:r w:rsidR="00A40A05" w:rsidRPr="002D468A">
        <w:rPr>
          <w:color w:val="000000" w:themeColor="text1"/>
          <w:lang w:val="ro-MD"/>
        </w:rPr>
        <w:t xml:space="preserve">” se </w:t>
      </w:r>
      <w:r w:rsidR="00555117" w:rsidRPr="002D468A">
        <w:rPr>
          <w:color w:val="000000" w:themeColor="text1"/>
          <w:lang w:val="ro-MD"/>
        </w:rPr>
        <w:t xml:space="preserve">completează cu textul </w:t>
      </w:r>
      <w:r w:rsidR="00A40A05" w:rsidRPr="002D468A">
        <w:rPr>
          <w:color w:val="000000" w:themeColor="text1"/>
          <w:lang w:val="ro-MD"/>
        </w:rPr>
        <w:t>„</w:t>
      </w:r>
      <w:r w:rsidR="00D21CCF" w:rsidRPr="002D468A">
        <w:rPr>
          <w:color w:val="000000" w:themeColor="text1"/>
          <w:lang w:val="ro-MD"/>
        </w:rPr>
        <w:t xml:space="preserve"> </w:t>
      </w:r>
      <w:r w:rsidR="00555117" w:rsidRPr="002D468A">
        <w:rPr>
          <w:color w:val="000000" w:themeColor="text1"/>
          <w:lang w:val="ro-MD"/>
        </w:rPr>
        <w:t>, care calculează cuantumurile ponderate la risc ale expunerilor conform abordării standardizate,</w:t>
      </w:r>
      <w:r w:rsidR="006E3480" w:rsidRPr="002D468A">
        <w:rPr>
          <w:color w:val="000000" w:themeColor="text1"/>
          <w:lang w:val="ro-MD"/>
        </w:rPr>
        <w:t>”.</w:t>
      </w:r>
      <w:bookmarkStart w:id="3" w:name="_Hlk78366134"/>
    </w:p>
    <w:p w14:paraId="0BD0089F" w14:textId="2C8AC75B" w:rsidR="008C1C06" w:rsidRPr="002D468A" w:rsidRDefault="008C1C06" w:rsidP="00DD1675">
      <w:pPr>
        <w:pStyle w:val="ListParagraph"/>
        <w:numPr>
          <w:ilvl w:val="1"/>
          <w:numId w:val="27"/>
        </w:numPr>
        <w:tabs>
          <w:tab w:val="left" w:pos="567"/>
        </w:tabs>
        <w:spacing w:before="80"/>
        <w:ind w:left="0" w:firstLine="567"/>
        <w:contextualSpacing w:val="0"/>
        <w:jc w:val="both"/>
        <w:rPr>
          <w:color w:val="000000" w:themeColor="text1"/>
          <w:lang w:val="ro-MD"/>
        </w:rPr>
      </w:pPr>
      <w:r w:rsidRPr="002D468A">
        <w:rPr>
          <w:color w:val="000000" w:themeColor="text1"/>
          <w:lang w:val="ro-MD"/>
        </w:rPr>
        <w:t xml:space="preserve">Se completează cu punctul </w:t>
      </w:r>
      <w:r w:rsidR="00576F53" w:rsidRPr="002D468A">
        <w:rPr>
          <w:color w:val="000000" w:themeColor="text1"/>
          <w:lang w:val="ro-MD"/>
        </w:rPr>
        <w:t>10</w:t>
      </w:r>
      <w:r w:rsidRPr="002D468A">
        <w:rPr>
          <w:color w:val="000000" w:themeColor="text1"/>
          <w:vertAlign w:val="superscript"/>
          <w:lang w:val="ro-MD"/>
        </w:rPr>
        <w:t>1</w:t>
      </w:r>
      <w:r w:rsidRPr="002D468A">
        <w:rPr>
          <w:color w:val="000000" w:themeColor="text1"/>
          <w:lang w:val="ro-MD"/>
        </w:rPr>
        <w:t xml:space="preserve"> cu următorul cuprins:</w:t>
      </w:r>
      <w:r w:rsidRPr="002D468A">
        <w:rPr>
          <w:color w:val="000000" w:themeColor="text1"/>
        </w:rPr>
        <w:t xml:space="preserve"> </w:t>
      </w:r>
    </w:p>
    <w:p w14:paraId="41C8CB91" w14:textId="5678C9FC" w:rsidR="008C1C06" w:rsidRPr="002D468A" w:rsidRDefault="008C1C06" w:rsidP="00674AD3">
      <w:pPr>
        <w:tabs>
          <w:tab w:val="left" w:pos="567"/>
        </w:tabs>
        <w:jc w:val="both"/>
        <w:rPr>
          <w:color w:val="000000" w:themeColor="text1"/>
          <w:lang w:val="ro-MD"/>
        </w:rPr>
      </w:pPr>
      <w:r w:rsidRPr="002D468A">
        <w:rPr>
          <w:color w:val="000000" w:themeColor="text1"/>
          <w:lang w:val="ro-MD"/>
        </w:rPr>
        <w:t>„</w:t>
      </w:r>
      <w:r w:rsidR="00576F53" w:rsidRPr="002D468A">
        <w:rPr>
          <w:b/>
          <w:bCs/>
          <w:color w:val="000000" w:themeColor="text1"/>
          <w:lang w:val="ro-MD"/>
        </w:rPr>
        <w:t>10</w:t>
      </w:r>
      <w:r w:rsidRPr="002D468A">
        <w:rPr>
          <w:b/>
          <w:bCs/>
          <w:color w:val="000000" w:themeColor="text1"/>
          <w:vertAlign w:val="superscript"/>
          <w:lang w:val="ro-MD"/>
        </w:rPr>
        <w:t>1</w:t>
      </w:r>
      <w:r w:rsidRPr="002D468A">
        <w:rPr>
          <w:b/>
          <w:bCs/>
          <w:color w:val="000000" w:themeColor="text1"/>
          <w:lang w:val="ro-MD"/>
        </w:rPr>
        <w:t>.</w:t>
      </w:r>
      <w:r w:rsidRPr="002D468A">
        <w:rPr>
          <w:color w:val="000000" w:themeColor="text1"/>
          <w:lang w:val="ro-MD"/>
        </w:rPr>
        <w:t xml:space="preserve"> </w:t>
      </w:r>
      <w:r w:rsidR="00576F53" w:rsidRPr="002D468A">
        <w:rPr>
          <w:color w:val="000000" w:themeColor="text1"/>
          <w:lang w:val="ro-RO" w:eastAsia="ro-MD"/>
        </w:rPr>
        <w:t>Garanțiile reale care îndeplinesc toate cerințele de eligibilitate prevăzute în prezentul regulament pot fi recunoscute chiar și în cazul expunerilor asociate facilităților netrase, în cazul în care tragerea în cadrul facilității este condiționată de achiziționarea sau primirea, în prealabil sau simultan, a unor garanții reale pe măsura interesului băncii asupra garanției reale odată ce facilitatea este trasă, astfel încât banca nu are niciun drept asupra garanției reale în măsura în care facilitatea nu este trasă</w:t>
      </w:r>
      <w:r w:rsidRPr="002D468A">
        <w:rPr>
          <w:color w:val="000000" w:themeColor="text1"/>
          <w:lang w:val="ro-MD"/>
        </w:rPr>
        <w:t>.”.</w:t>
      </w:r>
    </w:p>
    <w:p w14:paraId="2DD99FF3" w14:textId="73040E93" w:rsidR="00897421" w:rsidRPr="002D468A" w:rsidRDefault="00CA7601" w:rsidP="00DD1675">
      <w:pPr>
        <w:pStyle w:val="ListParagraph"/>
        <w:numPr>
          <w:ilvl w:val="1"/>
          <w:numId w:val="27"/>
        </w:numPr>
        <w:tabs>
          <w:tab w:val="left" w:pos="567"/>
        </w:tabs>
        <w:spacing w:before="80"/>
        <w:ind w:left="0" w:firstLine="567"/>
        <w:contextualSpacing w:val="0"/>
        <w:jc w:val="both"/>
        <w:rPr>
          <w:color w:val="000000" w:themeColor="text1"/>
          <w:lang w:val="ro-MD"/>
        </w:rPr>
      </w:pPr>
      <w:r w:rsidRPr="002D468A">
        <w:rPr>
          <w:color w:val="000000" w:themeColor="text1"/>
          <w:lang w:val="ro-MD"/>
        </w:rPr>
        <w:t xml:space="preserve">La punctul </w:t>
      </w:r>
      <w:r w:rsidR="00041B25" w:rsidRPr="002D468A">
        <w:rPr>
          <w:color w:val="000000" w:themeColor="text1"/>
          <w:lang w:val="ro-MD"/>
        </w:rPr>
        <w:t>12</w:t>
      </w:r>
      <w:r w:rsidR="00274FFD" w:rsidRPr="002D468A">
        <w:rPr>
          <w:color w:val="000000" w:themeColor="text1"/>
          <w:lang w:val="ro-MD"/>
        </w:rPr>
        <w:t>,</w:t>
      </w:r>
      <w:r w:rsidRPr="002D468A">
        <w:rPr>
          <w:color w:val="000000" w:themeColor="text1"/>
          <w:lang w:val="ro-MD"/>
        </w:rPr>
        <w:t xml:space="preserve"> </w:t>
      </w:r>
      <w:r w:rsidR="00D21CCF" w:rsidRPr="002D468A">
        <w:rPr>
          <w:color w:val="000000" w:themeColor="text1"/>
          <w:lang w:val="ro-MD"/>
        </w:rPr>
        <w:t xml:space="preserve">textul </w:t>
      </w:r>
      <w:r w:rsidRPr="002D468A">
        <w:rPr>
          <w:color w:val="000000" w:themeColor="text1"/>
          <w:lang w:val="ro-MD"/>
        </w:rPr>
        <w:t>„</w:t>
      </w:r>
      <w:r w:rsidR="00B909B3" w:rsidRPr="002D468A">
        <w:rPr>
          <w:color w:val="000000" w:themeColor="text1"/>
          <w:lang w:val="ro-MD"/>
        </w:rPr>
        <w:t xml:space="preserve">opinia juridică independentă, scrisă </w:t>
      </w:r>
      <w:proofErr w:type="spellStart"/>
      <w:r w:rsidR="00B909B3" w:rsidRPr="002D468A">
        <w:rPr>
          <w:color w:val="000000" w:themeColor="text1"/>
          <w:lang w:val="ro-MD"/>
        </w:rPr>
        <w:t>şi</w:t>
      </w:r>
      <w:proofErr w:type="spellEnd"/>
      <w:r w:rsidR="00B909B3" w:rsidRPr="002D468A">
        <w:rPr>
          <w:color w:val="000000" w:themeColor="text1"/>
          <w:lang w:val="ro-MD"/>
        </w:rPr>
        <w:t xml:space="preserve"> fundamentată</w:t>
      </w:r>
      <w:r w:rsidRPr="002D468A">
        <w:rPr>
          <w:color w:val="000000" w:themeColor="text1"/>
          <w:lang w:val="ro-MD"/>
        </w:rPr>
        <w:t>” se substituie cu textul „</w:t>
      </w:r>
      <w:r w:rsidR="00B909B3" w:rsidRPr="002D468A">
        <w:rPr>
          <w:color w:val="000000" w:themeColor="text1"/>
          <w:lang w:val="ro-MD"/>
        </w:rPr>
        <w:t>cea mai recentă versiune a opiniei juridice independente, scrisă și fundamentată, utilizată de bancă</w:t>
      </w:r>
      <w:r w:rsidRPr="002D468A">
        <w:rPr>
          <w:color w:val="000000" w:themeColor="text1"/>
          <w:lang w:val="ro-MD"/>
        </w:rPr>
        <w:t>”.</w:t>
      </w:r>
    </w:p>
    <w:p w14:paraId="762FF493" w14:textId="17C9F5CC" w:rsidR="00CA7601" w:rsidRPr="002D468A" w:rsidRDefault="00CA7601" w:rsidP="00794434">
      <w:pPr>
        <w:pStyle w:val="ListParagraph"/>
        <w:numPr>
          <w:ilvl w:val="1"/>
          <w:numId w:val="27"/>
        </w:numPr>
        <w:tabs>
          <w:tab w:val="left" w:pos="567"/>
        </w:tabs>
        <w:spacing w:before="80"/>
        <w:ind w:left="0" w:firstLine="567"/>
        <w:contextualSpacing w:val="0"/>
        <w:jc w:val="both"/>
        <w:rPr>
          <w:color w:val="000000" w:themeColor="text1"/>
          <w:lang w:val="ro-MD"/>
        </w:rPr>
      </w:pPr>
      <w:r w:rsidRPr="002D468A">
        <w:rPr>
          <w:color w:val="000000" w:themeColor="text1"/>
          <w:lang w:val="ro-MD"/>
        </w:rPr>
        <w:t>La punct</w:t>
      </w:r>
      <w:r w:rsidR="00CD39CC" w:rsidRPr="002D468A">
        <w:rPr>
          <w:color w:val="000000" w:themeColor="text1"/>
          <w:lang w:val="ro-MD"/>
        </w:rPr>
        <w:t>ele</w:t>
      </w:r>
      <w:r w:rsidRPr="002D468A">
        <w:rPr>
          <w:color w:val="000000" w:themeColor="text1"/>
          <w:lang w:val="ro-MD"/>
        </w:rPr>
        <w:t xml:space="preserve"> </w:t>
      </w:r>
      <w:r w:rsidR="00B909B3" w:rsidRPr="002D468A">
        <w:rPr>
          <w:color w:val="000000" w:themeColor="text1"/>
          <w:lang w:val="ro-MD"/>
        </w:rPr>
        <w:t>14</w:t>
      </w:r>
      <w:r w:rsidR="00581ABE" w:rsidRPr="002D468A">
        <w:rPr>
          <w:color w:val="000000" w:themeColor="text1"/>
          <w:lang w:val="ro-MD"/>
        </w:rPr>
        <w:t xml:space="preserve"> subpunctul </w:t>
      </w:r>
      <w:r w:rsidR="00B909B3" w:rsidRPr="002D468A">
        <w:rPr>
          <w:color w:val="000000" w:themeColor="text1"/>
          <w:lang w:val="ro-MD"/>
        </w:rPr>
        <w:t>2</w:t>
      </w:r>
      <w:r w:rsidR="00581ABE" w:rsidRPr="002D468A">
        <w:rPr>
          <w:color w:val="000000" w:themeColor="text1"/>
          <w:lang w:val="ro-MD"/>
        </w:rPr>
        <w:t>)</w:t>
      </w:r>
      <w:r w:rsidR="00E803DA" w:rsidRPr="002D468A">
        <w:rPr>
          <w:color w:val="000000" w:themeColor="text1"/>
          <w:lang w:val="ro-MD"/>
        </w:rPr>
        <w:t xml:space="preserve"> și </w:t>
      </w:r>
      <w:r w:rsidR="00CD39CC" w:rsidRPr="002D468A">
        <w:rPr>
          <w:color w:val="000000" w:themeColor="text1"/>
          <w:lang w:val="ro-MD"/>
        </w:rPr>
        <w:t>17 subpunctul 2)</w:t>
      </w:r>
      <w:r w:rsidR="00274FFD" w:rsidRPr="002D468A">
        <w:rPr>
          <w:color w:val="000000" w:themeColor="text1"/>
          <w:lang w:val="ro-MD"/>
        </w:rPr>
        <w:t>,</w:t>
      </w:r>
      <w:r w:rsidRPr="002D468A">
        <w:rPr>
          <w:color w:val="000000" w:themeColor="text1"/>
          <w:lang w:val="ro-MD"/>
        </w:rPr>
        <w:t xml:space="preserve"> textul „</w:t>
      </w:r>
      <w:r w:rsidR="00B909B3" w:rsidRPr="002D468A">
        <w:rPr>
          <w:color w:val="000000" w:themeColor="text1"/>
          <w:lang w:val="ro-RO" w:eastAsia="ro-MD"/>
        </w:rPr>
        <w:t>în ceea ce privește protecția creditului realizată, având în vedere</w:t>
      </w:r>
      <w:r w:rsidR="00346B11" w:rsidRPr="002D468A">
        <w:rPr>
          <w:color w:val="000000" w:themeColor="text1"/>
          <w:lang w:val="ro-MD"/>
        </w:rPr>
        <w:t>”</w:t>
      </w:r>
      <w:r w:rsidR="00B909B3" w:rsidRPr="002D468A">
        <w:rPr>
          <w:color w:val="000000" w:themeColor="text1"/>
          <w:lang w:val="ro-MD"/>
        </w:rPr>
        <w:t xml:space="preserve"> se completează cu cuvintele „</w:t>
      </w:r>
      <w:r w:rsidR="00B909B3" w:rsidRPr="002D468A">
        <w:rPr>
          <w:color w:val="000000" w:themeColor="text1"/>
          <w:lang w:val="ro-RO" w:eastAsia="ro-MD"/>
        </w:rPr>
        <w:t>abordarea utilizată pentru a calcula cuantumurile ponderate la risc ale expunerilor și”</w:t>
      </w:r>
      <w:r w:rsidR="00346B11" w:rsidRPr="002D468A">
        <w:rPr>
          <w:color w:val="000000" w:themeColor="text1"/>
          <w:lang w:val="ro-MD"/>
        </w:rPr>
        <w:t>.</w:t>
      </w:r>
    </w:p>
    <w:p w14:paraId="13F6E53E" w14:textId="7804387F" w:rsidR="00517E95" w:rsidRPr="002D468A" w:rsidRDefault="000B4730" w:rsidP="00DD1675">
      <w:pPr>
        <w:pStyle w:val="ListParagraph"/>
        <w:numPr>
          <w:ilvl w:val="1"/>
          <w:numId w:val="27"/>
        </w:numPr>
        <w:tabs>
          <w:tab w:val="left" w:pos="567"/>
        </w:tabs>
        <w:spacing w:before="80"/>
        <w:ind w:left="0" w:firstLine="567"/>
        <w:contextualSpacing w:val="0"/>
        <w:jc w:val="both"/>
        <w:rPr>
          <w:color w:val="000000" w:themeColor="text1"/>
          <w:lang w:val="ro-MD"/>
        </w:rPr>
      </w:pPr>
      <w:r w:rsidRPr="002D468A">
        <w:rPr>
          <w:color w:val="000000" w:themeColor="text1"/>
          <w:lang w:val="ro-MD"/>
        </w:rPr>
        <w:t>La</w:t>
      </w:r>
      <w:r w:rsidR="006D4F30" w:rsidRPr="002D468A">
        <w:rPr>
          <w:color w:val="000000" w:themeColor="text1"/>
          <w:lang w:val="ro-MD"/>
        </w:rPr>
        <w:t xml:space="preserve"> punctul </w:t>
      </w:r>
      <w:r w:rsidR="00CD39CC" w:rsidRPr="002D468A">
        <w:rPr>
          <w:color w:val="000000" w:themeColor="text1"/>
          <w:lang w:val="ro-MD"/>
        </w:rPr>
        <w:t>19</w:t>
      </w:r>
      <w:r w:rsidR="00B257E4" w:rsidRPr="002D468A">
        <w:rPr>
          <w:color w:val="000000" w:themeColor="text1"/>
          <w:lang w:val="ro-MD"/>
        </w:rPr>
        <w:t>,</w:t>
      </w:r>
      <w:r w:rsidR="006D4F30" w:rsidRPr="002D468A">
        <w:rPr>
          <w:color w:val="000000" w:themeColor="text1"/>
          <w:lang w:val="ro-MD"/>
        </w:rPr>
        <w:t xml:space="preserve"> cuvintele „</w:t>
      </w:r>
      <w:r w:rsidR="001E0D8E" w:rsidRPr="002D468A">
        <w:rPr>
          <w:color w:val="000000" w:themeColor="text1"/>
          <w:lang w:val="ro-RO" w:eastAsia="ro-MD"/>
        </w:rPr>
        <w:t>Banca trebuie să dispună</w:t>
      </w:r>
      <w:r w:rsidR="006D4F30" w:rsidRPr="002D468A">
        <w:rPr>
          <w:color w:val="000000" w:themeColor="text1"/>
          <w:lang w:val="ro-MD"/>
        </w:rPr>
        <w:t>” se substituie cu cuvintele „</w:t>
      </w:r>
      <w:r w:rsidR="001327FF" w:rsidRPr="002D468A">
        <w:rPr>
          <w:color w:val="000000" w:themeColor="text1"/>
          <w:lang w:val="ro-RO" w:eastAsia="ro-MD"/>
        </w:rPr>
        <w:t>Banca trebuie să poată demonstra Băncii Naționale a Moldovei că dispune</w:t>
      </w:r>
      <w:r w:rsidR="006D4F30" w:rsidRPr="002D468A">
        <w:rPr>
          <w:color w:val="000000" w:themeColor="text1"/>
          <w:lang w:val="ro-MD"/>
        </w:rPr>
        <w:t>”.</w:t>
      </w:r>
    </w:p>
    <w:p w14:paraId="05726DF5" w14:textId="7F705906" w:rsidR="0000731F" w:rsidRPr="002D468A" w:rsidRDefault="002B0675" w:rsidP="006D4F30">
      <w:pPr>
        <w:pStyle w:val="ListParagraph"/>
        <w:numPr>
          <w:ilvl w:val="1"/>
          <w:numId w:val="27"/>
        </w:numPr>
        <w:tabs>
          <w:tab w:val="left" w:pos="567"/>
        </w:tabs>
        <w:ind w:left="0" w:firstLine="567"/>
        <w:jc w:val="both"/>
        <w:rPr>
          <w:color w:val="000000" w:themeColor="text1"/>
          <w:lang w:val="ro-MD"/>
        </w:rPr>
      </w:pPr>
      <w:r w:rsidRPr="002D468A">
        <w:rPr>
          <w:color w:val="000000" w:themeColor="text1"/>
          <w:lang w:val="ro-MD"/>
        </w:rPr>
        <w:t>La p</w:t>
      </w:r>
      <w:r w:rsidR="0093744B" w:rsidRPr="002D468A">
        <w:rPr>
          <w:color w:val="000000" w:themeColor="text1"/>
          <w:lang w:val="ro-MD"/>
        </w:rPr>
        <w:t xml:space="preserve">unctul </w:t>
      </w:r>
      <w:r w:rsidR="00B84B9B" w:rsidRPr="002D468A">
        <w:rPr>
          <w:color w:val="000000" w:themeColor="text1"/>
          <w:lang w:val="ro-MD"/>
        </w:rPr>
        <w:t>20</w:t>
      </w:r>
      <w:r w:rsidR="00274FFD" w:rsidRPr="002D468A">
        <w:rPr>
          <w:color w:val="000000" w:themeColor="text1"/>
          <w:lang w:val="ro-MD"/>
        </w:rPr>
        <w:t>,</w:t>
      </w:r>
      <w:r w:rsidR="00B84B9B" w:rsidRPr="002D468A">
        <w:rPr>
          <w:color w:val="000000" w:themeColor="text1"/>
          <w:lang w:val="ro-MD"/>
        </w:rPr>
        <w:t xml:space="preserve"> după </w:t>
      </w:r>
      <w:r w:rsidR="00DF1FA7" w:rsidRPr="002D468A">
        <w:rPr>
          <w:color w:val="000000" w:themeColor="text1"/>
          <w:lang w:val="ro-MD"/>
        </w:rPr>
        <w:t xml:space="preserve">textul </w:t>
      </w:r>
      <w:r w:rsidR="00B84B9B" w:rsidRPr="002D468A">
        <w:rPr>
          <w:color w:val="000000" w:themeColor="text1"/>
          <w:lang w:val="ro-MD"/>
        </w:rPr>
        <w:t>„</w:t>
      </w:r>
      <w:r w:rsidR="00F73F66" w:rsidRPr="002D468A">
        <w:rPr>
          <w:color w:val="000000" w:themeColor="text1"/>
          <w:lang w:val="ro-MD"/>
        </w:rPr>
        <w:t>calculării valorilor ponderate la risc ale expunerilor, ”</w:t>
      </w:r>
      <w:r w:rsidR="0093744B" w:rsidRPr="002D468A">
        <w:rPr>
          <w:color w:val="000000" w:themeColor="text1"/>
          <w:lang w:val="ro-MD"/>
        </w:rPr>
        <w:t xml:space="preserve"> se completează cu textul „</w:t>
      </w:r>
      <w:r w:rsidR="00F73F66" w:rsidRPr="002D468A">
        <w:rPr>
          <w:color w:val="000000" w:themeColor="text1"/>
          <w:lang w:val="ro-MD"/>
        </w:rPr>
        <w:t xml:space="preserve"> </w:t>
      </w:r>
      <w:r w:rsidR="00F73F66" w:rsidRPr="002D468A">
        <w:rPr>
          <w:color w:val="000000" w:themeColor="text1"/>
          <w:lang w:val="ro-RO" w:eastAsia="ro-MD"/>
        </w:rPr>
        <w:t xml:space="preserve">și, după caz, al valorilor pierderilor așteptate, </w:t>
      </w:r>
      <w:r w:rsidR="0093744B" w:rsidRPr="002D468A">
        <w:rPr>
          <w:color w:val="000000" w:themeColor="text1"/>
          <w:lang w:val="ro-MD"/>
        </w:rPr>
        <w:t>”.</w:t>
      </w:r>
    </w:p>
    <w:p w14:paraId="3F86372B" w14:textId="21A24EF6" w:rsidR="000340B6" w:rsidRPr="002D468A" w:rsidRDefault="005703F4" w:rsidP="006D4F30">
      <w:pPr>
        <w:pStyle w:val="ListParagraph"/>
        <w:numPr>
          <w:ilvl w:val="1"/>
          <w:numId w:val="27"/>
        </w:numPr>
        <w:tabs>
          <w:tab w:val="left" w:pos="567"/>
        </w:tabs>
        <w:ind w:left="0" w:firstLine="567"/>
        <w:jc w:val="both"/>
        <w:rPr>
          <w:color w:val="000000" w:themeColor="text1"/>
          <w:lang w:val="ro-MD"/>
        </w:rPr>
      </w:pPr>
      <w:r w:rsidRPr="002D468A">
        <w:rPr>
          <w:color w:val="000000" w:themeColor="text1"/>
          <w:lang w:val="ro-MD"/>
        </w:rPr>
        <w:t xml:space="preserve">La punctul </w:t>
      </w:r>
      <w:r w:rsidR="0079362A" w:rsidRPr="002D468A">
        <w:rPr>
          <w:color w:val="000000" w:themeColor="text1"/>
          <w:lang w:val="ro-MD"/>
        </w:rPr>
        <w:t>22</w:t>
      </w:r>
      <w:r w:rsidR="000340B6" w:rsidRPr="002D468A">
        <w:rPr>
          <w:color w:val="000000" w:themeColor="text1"/>
          <w:lang w:val="ro-MD"/>
        </w:rPr>
        <w:t>:</w:t>
      </w:r>
    </w:p>
    <w:p w14:paraId="01B658B5" w14:textId="40539B2C" w:rsidR="0093744B" w:rsidRPr="002D468A" w:rsidRDefault="00FC5659" w:rsidP="000340B6">
      <w:pPr>
        <w:pStyle w:val="ListParagraph"/>
        <w:numPr>
          <w:ilvl w:val="2"/>
          <w:numId w:val="27"/>
        </w:numPr>
        <w:tabs>
          <w:tab w:val="left" w:pos="567"/>
        </w:tabs>
        <w:ind w:left="0" w:firstLine="567"/>
        <w:jc w:val="both"/>
        <w:rPr>
          <w:color w:val="000000" w:themeColor="text1"/>
          <w:lang w:val="ro-MD"/>
        </w:rPr>
      </w:pPr>
      <w:r w:rsidRPr="002D468A">
        <w:rPr>
          <w:color w:val="000000" w:themeColor="text1"/>
          <w:lang w:val="ro-MD"/>
        </w:rPr>
        <w:t xml:space="preserve">cuvintele „între o bancă </w:t>
      </w:r>
      <w:r w:rsidR="000008D0" w:rsidRPr="002D468A">
        <w:rPr>
          <w:color w:val="000000" w:themeColor="text1"/>
          <w:lang w:val="ro-MD"/>
        </w:rPr>
        <w:t>și</w:t>
      </w:r>
      <w:r w:rsidRPr="002D468A">
        <w:rPr>
          <w:color w:val="000000" w:themeColor="text1"/>
          <w:lang w:val="ro-MD"/>
        </w:rPr>
        <w:t xml:space="preserve"> </w:t>
      </w:r>
      <w:proofErr w:type="spellStart"/>
      <w:r w:rsidRPr="002D468A">
        <w:rPr>
          <w:color w:val="000000" w:themeColor="text1"/>
          <w:lang w:val="ro-MD"/>
        </w:rPr>
        <w:t>contrapartea</w:t>
      </w:r>
      <w:proofErr w:type="spellEnd"/>
      <w:r w:rsidRPr="002D468A">
        <w:rPr>
          <w:color w:val="000000" w:themeColor="text1"/>
          <w:lang w:val="ro-MD"/>
        </w:rPr>
        <w:t xml:space="preserve"> expunerii garantate” se substituie cu cuvintele </w:t>
      </w:r>
      <w:r w:rsidR="005703F4" w:rsidRPr="002D468A">
        <w:rPr>
          <w:color w:val="000000" w:themeColor="text1"/>
          <w:lang w:val="ro-MD"/>
        </w:rPr>
        <w:t>„</w:t>
      </w:r>
      <w:r w:rsidR="000340B6" w:rsidRPr="002D468A">
        <w:rPr>
          <w:color w:val="000000" w:themeColor="text1"/>
          <w:lang w:val="ro-RO" w:eastAsia="ro-MD"/>
        </w:rPr>
        <w:t xml:space="preserve">ale băncii și ale </w:t>
      </w:r>
      <w:proofErr w:type="spellStart"/>
      <w:r w:rsidR="000340B6" w:rsidRPr="002D468A">
        <w:rPr>
          <w:color w:val="000000" w:themeColor="text1"/>
          <w:lang w:val="ro-RO" w:eastAsia="ro-MD"/>
        </w:rPr>
        <w:t>contrapărții</w:t>
      </w:r>
      <w:proofErr w:type="spellEnd"/>
      <w:r w:rsidR="005703F4" w:rsidRPr="002D468A">
        <w:rPr>
          <w:color w:val="000000" w:themeColor="text1"/>
          <w:lang w:val="ro-MD"/>
        </w:rPr>
        <w:t>”</w:t>
      </w:r>
      <w:r w:rsidRPr="002D468A">
        <w:rPr>
          <w:color w:val="000000" w:themeColor="text1"/>
          <w:lang w:val="ro-MD"/>
        </w:rPr>
        <w:t>;</w:t>
      </w:r>
    </w:p>
    <w:p w14:paraId="40CE5B34" w14:textId="325FEE60" w:rsidR="00FC5659" w:rsidRPr="002D468A" w:rsidRDefault="00FC5659" w:rsidP="000340B6">
      <w:pPr>
        <w:pStyle w:val="ListParagraph"/>
        <w:numPr>
          <w:ilvl w:val="2"/>
          <w:numId w:val="27"/>
        </w:numPr>
        <w:tabs>
          <w:tab w:val="left" w:pos="567"/>
        </w:tabs>
        <w:ind w:left="0" w:firstLine="567"/>
        <w:jc w:val="both"/>
        <w:rPr>
          <w:color w:val="000000" w:themeColor="text1"/>
          <w:lang w:val="ro-MD"/>
        </w:rPr>
      </w:pPr>
      <w:r w:rsidRPr="002D468A">
        <w:rPr>
          <w:color w:val="000000" w:themeColor="text1"/>
          <w:lang w:val="ro-MD"/>
        </w:rPr>
        <w:t>după cuvintele „</w:t>
      </w:r>
      <w:r w:rsidRPr="002D468A">
        <w:rPr>
          <w:color w:val="000000" w:themeColor="text1"/>
          <w:lang w:val="ro-RO" w:eastAsia="ro-MD"/>
        </w:rPr>
        <w:t>valorile ponderate la risc ale expunerilor” se completează cu textul „ și, după caz, cuantumurile pierderilor așteptate”.</w:t>
      </w:r>
    </w:p>
    <w:p w14:paraId="58CEB034" w14:textId="77777777" w:rsidR="00841A67" w:rsidRPr="002D468A" w:rsidRDefault="007C3CFF" w:rsidP="006D4F30">
      <w:pPr>
        <w:pStyle w:val="ListParagraph"/>
        <w:numPr>
          <w:ilvl w:val="1"/>
          <w:numId w:val="27"/>
        </w:numPr>
        <w:tabs>
          <w:tab w:val="left" w:pos="567"/>
        </w:tabs>
        <w:ind w:left="0" w:firstLine="567"/>
        <w:jc w:val="both"/>
        <w:rPr>
          <w:color w:val="000000" w:themeColor="text1"/>
          <w:lang w:val="ro-MD"/>
        </w:rPr>
      </w:pPr>
      <w:r w:rsidRPr="002D468A">
        <w:rPr>
          <w:color w:val="000000" w:themeColor="text1"/>
          <w:lang w:val="ro-MD"/>
        </w:rPr>
        <w:t xml:space="preserve">La punctul </w:t>
      </w:r>
      <w:r w:rsidR="008E3327" w:rsidRPr="002D468A">
        <w:rPr>
          <w:color w:val="000000" w:themeColor="text1"/>
          <w:lang w:val="ro-MD"/>
        </w:rPr>
        <w:t>23</w:t>
      </w:r>
      <w:r w:rsidR="00841A67" w:rsidRPr="002D468A">
        <w:rPr>
          <w:color w:val="000000" w:themeColor="text1"/>
          <w:lang w:val="ro-MD"/>
        </w:rPr>
        <w:t>:</w:t>
      </w:r>
    </w:p>
    <w:p w14:paraId="5DB94A83" w14:textId="589027DB" w:rsidR="00841A67" w:rsidRPr="002D468A" w:rsidRDefault="00841A67" w:rsidP="00841A67">
      <w:pPr>
        <w:pStyle w:val="ListParagraph"/>
        <w:numPr>
          <w:ilvl w:val="2"/>
          <w:numId w:val="27"/>
        </w:numPr>
        <w:tabs>
          <w:tab w:val="left" w:pos="567"/>
        </w:tabs>
        <w:ind w:left="0" w:firstLine="567"/>
        <w:jc w:val="both"/>
        <w:rPr>
          <w:color w:val="000000" w:themeColor="text1"/>
          <w:lang w:val="ro-MD"/>
        </w:rPr>
      </w:pPr>
      <w:r w:rsidRPr="002D468A">
        <w:rPr>
          <w:color w:val="000000" w:themeColor="text1"/>
          <w:lang w:val="ro-MD"/>
        </w:rPr>
        <w:t xml:space="preserve">cuvintele „cu o </w:t>
      </w:r>
      <w:proofErr w:type="spellStart"/>
      <w:r w:rsidRPr="002D468A">
        <w:rPr>
          <w:color w:val="000000" w:themeColor="text1"/>
          <w:lang w:val="ro-MD"/>
        </w:rPr>
        <w:t>contraparte</w:t>
      </w:r>
      <w:proofErr w:type="spellEnd"/>
      <w:r w:rsidRPr="002D468A">
        <w:rPr>
          <w:color w:val="000000" w:themeColor="text1"/>
          <w:lang w:val="ro-MD"/>
        </w:rPr>
        <w:t>” se exclud;</w:t>
      </w:r>
    </w:p>
    <w:p w14:paraId="6B38C5DC" w14:textId="5C020ABD" w:rsidR="00841A67" w:rsidRPr="002D468A" w:rsidRDefault="008E3327" w:rsidP="00841A67">
      <w:pPr>
        <w:pStyle w:val="ListParagraph"/>
        <w:numPr>
          <w:ilvl w:val="2"/>
          <w:numId w:val="27"/>
        </w:numPr>
        <w:tabs>
          <w:tab w:val="left" w:pos="567"/>
        </w:tabs>
        <w:ind w:left="0" w:firstLine="567"/>
        <w:jc w:val="both"/>
        <w:rPr>
          <w:color w:val="000000" w:themeColor="text1"/>
          <w:lang w:val="ro-MD"/>
        </w:rPr>
      </w:pPr>
      <w:r w:rsidRPr="002D468A">
        <w:rPr>
          <w:color w:val="000000" w:themeColor="text1"/>
          <w:lang w:val="ro-MD"/>
        </w:rPr>
        <w:t xml:space="preserve">după cuvintele </w:t>
      </w:r>
      <w:r w:rsidR="007C3CFF" w:rsidRPr="002D468A">
        <w:rPr>
          <w:color w:val="000000" w:themeColor="text1"/>
          <w:lang w:val="ro-MD"/>
        </w:rPr>
        <w:t>„</w:t>
      </w:r>
      <w:r w:rsidRPr="002D468A">
        <w:rPr>
          <w:color w:val="000000" w:themeColor="text1"/>
          <w:lang w:val="ro-RO" w:eastAsia="ro-MD"/>
        </w:rPr>
        <w:t>compensare bilaterală</w:t>
      </w:r>
      <w:r w:rsidR="007C3CFF" w:rsidRPr="002D468A">
        <w:rPr>
          <w:color w:val="000000" w:themeColor="text1"/>
          <w:lang w:val="ro-MD"/>
        </w:rPr>
        <w:t xml:space="preserve">” se </w:t>
      </w:r>
      <w:r w:rsidRPr="002D468A">
        <w:rPr>
          <w:color w:val="000000" w:themeColor="text1"/>
          <w:lang w:val="ro-MD"/>
        </w:rPr>
        <w:t>completează</w:t>
      </w:r>
      <w:r w:rsidR="007C3CFF" w:rsidRPr="002D468A">
        <w:rPr>
          <w:color w:val="000000" w:themeColor="text1"/>
          <w:lang w:val="ro-MD"/>
        </w:rPr>
        <w:t xml:space="preserve"> cu </w:t>
      </w:r>
      <w:r w:rsidRPr="002D468A">
        <w:rPr>
          <w:color w:val="000000" w:themeColor="text1"/>
          <w:lang w:val="ro-MD"/>
        </w:rPr>
        <w:t>cuvintele</w:t>
      </w:r>
      <w:r w:rsidR="007C3CFF" w:rsidRPr="002D468A">
        <w:rPr>
          <w:color w:val="000000" w:themeColor="text1"/>
          <w:lang w:val="ro-MD"/>
        </w:rPr>
        <w:t xml:space="preserve"> „</w:t>
      </w:r>
      <w:r w:rsidRPr="002D468A">
        <w:rPr>
          <w:color w:val="000000" w:themeColor="text1"/>
          <w:lang w:val="ro-RO" w:eastAsia="ro-MD"/>
        </w:rPr>
        <w:t xml:space="preserve">cu o </w:t>
      </w:r>
      <w:proofErr w:type="spellStart"/>
      <w:r w:rsidRPr="002D468A">
        <w:rPr>
          <w:color w:val="000000" w:themeColor="text1"/>
          <w:lang w:val="ro-RO" w:eastAsia="ro-MD"/>
        </w:rPr>
        <w:t>contraparte</w:t>
      </w:r>
      <w:proofErr w:type="spellEnd"/>
      <w:r w:rsidR="007C3CFF" w:rsidRPr="002D468A">
        <w:rPr>
          <w:color w:val="000000" w:themeColor="text1"/>
          <w:lang w:val="ro-MD"/>
        </w:rPr>
        <w:t>”</w:t>
      </w:r>
      <w:r w:rsidR="00841A67" w:rsidRPr="002D468A">
        <w:rPr>
          <w:color w:val="000000" w:themeColor="text1"/>
          <w:lang w:val="ro-MD"/>
        </w:rPr>
        <w:t>.</w:t>
      </w:r>
    </w:p>
    <w:p w14:paraId="7EC2A591" w14:textId="4A66611D" w:rsidR="004C4927" w:rsidRPr="002D468A" w:rsidRDefault="00274FFD" w:rsidP="00F26F58">
      <w:pPr>
        <w:pStyle w:val="ListParagraph"/>
        <w:numPr>
          <w:ilvl w:val="1"/>
          <w:numId w:val="27"/>
        </w:numPr>
        <w:ind w:left="0" w:firstLine="567"/>
        <w:jc w:val="both"/>
        <w:rPr>
          <w:color w:val="000000" w:themeColor="text1"/>
          <w:lang w:val="ro-RO" w:eastAsia="ro-MD"/>
        </w:rPr>
      </w:pPr>
      <w:r w:rsidRPr="002D468A">
        <w:rPr>
          <w:color w:val="000000" w:themeColor="text1"/>
          <w:lang w:val="ro-RO" w:eastAsia="ro-MD"/>
        </w:rPr>
        <w:t>P</w:t>
      </w:r>
      <w:r w:rsidR="004A1B21" w:rsidRPr="002D468A">
        <w:rPr>
          <w:color w:val="000000" w:themeColor="text1"/>
          <w:lang w:val="ro-RO" w:eastAsia="ro-MD"/>
        </w:rPr>
        <w:t xml:space="preserve">unctul </w:t>
      </w:r>
      <w:r w:rsidR="00841A67" w:rsidRPr="002D468A">
        <w:rPr>
          <w:color w:val="000000" w:themeColor="text1"/>
          <w:lang w:val="ro-RO" w:eastAsia="ro-MD"/>
        </w:rPr>
        <w:t>24</w:t>
      </w:r>
      <w:r w:rsidR="00844CF7" w:rsidRPr="002D468A">
        <w:rPr>
          <w:color w:val="000000" w:themeColor="text1"/>
          <w:lang w:val="ro-RO" w:eastAsia="ro-MD"/>
        </w:rPr>
        <w:t xml:space="preserve"> va avea următorul cuprins:</w:t>
      </w:r>
    </w:p>
    <w:p w14:paraId="7FC41841" w14:textId="29838605" w:rsidR="00844CF7" w:rsidRPr="002D468A" w:rsidRDefault="00F83927" w:rsidP="00844CF7">
      <w:pPr>
        <w:jc w:val="both"/>
        <w:rPr>
          <w:color w:val="000000" w:themeColor="text1"/>
          <w:lang w:val="ro-RO" w:eastAsia="ro-MD"/>
        </w:rPr>
      </w:pPr>
      <w:r w:rsidRPr="002D468A">
        <w:rPr>
          <w:color w:val="000000" w:themeColor="text1"/>
          <w:lang w:val="ro-RO" w:eastAsia="ro-MD"/>
        </w:rPr>
        <w:lastRenderedPageBreak/>
        <w:t>„</w:t>
      </w:r>
      <w:r w:rsidR="001E3005" w:rsidRPr="002D468A">
        <w:rPr>
          <w:color w:val="000000" w:themeColor="text1"/>
          <w:lang w:val="ro-RO" w:eastAsia="ro-MD"/>
        </w:rPr>
        <w:t xml:space="preserve">Fără a aduce atingere capitolului aferent elementelor portofoliului de tranzacționare din Regulamentul cu privire la tratamentul riscului de credit al </w:t>
      </w:r>
      <w:proofErr w:type="spellStart"/>
      <w:r w:rsidR="001E3005" w:rsidRPr="002D468A">
        <w:rPr>
          <w:color w:val="000000" w:themeColor="text1"/>
          <w:lang w:val="ro-RO" w:eastAsia="ro-MD"/>
        </w:rPr>
        <w:t>contrapărții</w:t>
      </w:r>
      <w:proofErr w:type="spellEnd"/>
      <w:r w:rsidR="001E3005" w:rsidRPr="002D468A">
        <w:rPr>
          <w:color w:val="000000" w:themeColor="text1"/>
          <w:lang w:val="ro-RO" w:eastAsia="ro-MD"/>
        </w:rPr>
        <w:t xml:space="preserve"> pentru bănci, aprobat prin Hotărârea Comitetului executiv al Băncii Naționale a Moldovei nr.220/2025 (în continuare – Regulamentul nr.220/2025), garanțiile reale acceptate și valorile mobiliare sau mărfurile luate cu împrumut în cadrul unor astfel de acorduri sau tranzacții stipulate la punctul 23 trebuie să respecte cerințele de eligibilitate pentru garanții reale prevăzute la secțiunile 3 și 4 din prezentul capitol.”.</w:t>
      </w:r>
    </w:p>
    <w:p w14:paraId="1EFE9F14" w14:textId="504D5E23" w:rsidR="00386948" w:rsidRPr="002D468A" w:rsidRDefault="002B2B58" w:rsidP="002B2B58">
      <w:pPr>
        <w:pStyle w:val="ListParagraph"/>
        <w:numPr>
          <w:ilvl w:val="1"/>
          <w:numId w:val="27"/>
        </w:numPr>
        <w:ind w:left="0" w:firstLine="567"/>
        <w:jc w:val="both"/>
        <w:rPr>
          <w:color w:val="000000" w:themeColor="text1"/>
          <w:lang w:val="ro-RO" w:eastAsia="ro-MD"/>
        </w:rPr>
      </w:pPr>
      <w:r w:rsidRPr="002D468A">
        <w:rPr>
          <w:color w:val="000000" w:themeColor="text1"/>
          <w:lang w:val="ro-RO" w:eastAsia="ro-MD"/>
        </w:rPr>
        <w:t>La p</w:t>
      </w:r>
      <w:r w:rsidR="00386948" w:rsidRPr="002D468A">
        <w:rPr>
          <w:color w:val="000000" w:themeColor="text1"/>
          <w:lang w:val="ro-RO" w:eastAsia="ro-MD"/>
        </w:rPr>
        <w:t xml:space="preserve">unctul </w:t>
      </w:r>
      <w:r w:rsidRPr="002D468A">
        <w:rPr>
          <w:color w:val="000000" w:themeColor="text1"/>
          <w:lang w:val="ro-RO" w:eastAsia="ro-MD"/>
        </w:rPr>
        <w:t>25:</w:t>
      </w:r>
    </w:p>
    <w:p w14:paraId="6E35B613" w14:textId="59755ECE" w:rsidR="002B2B58" w:rsidRPr="002D468A" w:rsidRDefault="002B2B58" w:rsidP="002B2B58">
      <w:pPr>
        <w:pStyle w:val="ListParagraph"/>
        <w:numPr>
          <w:ilvl w:val="2"/>
          <w:numId w:val="27"/>
        </w:numPr>
        <w:ind w:left="0" w:firstLine="567"/>
        <w:jc w:val="both"/>
        <w:rPr>
          <w:color w:val="000000" w:themeColor="text1"/>
          <w:lang w:val="ro-RO" w:eastAsia="ro-MD"/>
        </w:rPr>
      </w:pPr>
      <w:r w:rsidRPr="002D468A">
        <w:rPr>
          <w:color w:val="000000" w:themeColor="text1"/>
          <w:lang w:val="ro-RO" w:eastAsia="ro-MD"/>
        </w:rPr>
        <w:t>subpunctul 1) va avea următorul cuprins:</w:t>
      </w:r>
    </w:p>
    <w:p w14:paraId="0009F513" w14:textId="6E716E27" w:rsidR="002B2B58" w:rsidRPr="002D468A" w:rsidRDefault="002B2B58" w:rsidP="000742E5">
      <w:pPr>
        <w:pStyle w:val="ListParagraph"/>
        <w:ind w:left="0"/>
        <w:jc w:val="both"/>
        <w:rPr>
          <w:color w:val="000000" w:themeColor="text1"/>
          <w:lang w:val="ro-RO" w:eastAsia="ro-MD"/>
        </w:rPr>
      </w:pPr>
      <w:r w:rsidRPr="002D468A">
        <w:rPr>
          <w:color w:val="000000" w:themeColor="text1"/>
          <w:lang w:val="ro-RO" w:eastAsia="ro-MD"/>
        </w:rPr>
        <w:t>„mijloace bănești sub formă de depozit constituit la banca creditoare sau instrumente asimilate mijloacelor bănești păstrate de aceast</w:t>
      </w:r>
      <w:r w:rsidR="007C1B69" w:rsidRPr="002D468A">
        <w:rPr>
          <w:color w:val="000000" w:themeColor="text1"/>
          <w:lang w:val="ro-RO" w:eastAsia="ro-MD"/>
        </w:rPr>
        <w:t>a</w:t>
      </w:r>
      <w:r w:rsidRPr="002D468A">
        <w:rPr>
          <w:color w:val="000000" w:themeColor="text1"/>
          <w:lang w:val="ro-RO" w:eastAsia="ro-MD"/>
        </w:rPr>
        <w:t>;”;</w:t>
      </w:r>
    </w:p>
    <w:p w14:paraId="6D1948AB" w14:textId="78BEF724" w:rsidR="008152E2" w:rsidRPr="002D468A" w:rsidRDefault="008152E2" w:rsidP="008152E2">
      <w:pPr>
        <w:pStyle w:val="ListParagraph"/>
        <w:numPr>
          <w:ilvl w:val="2"/>
          <w:numId w:val="27"/>
        </w:numPr>
        <w:ind w:left="0" w:firstLine="567"/>
        <w:jc w:val="both"/>
        <w:rPr>
          <w:color w:val="000000" w:themeColor="text1"/>
          <w:lang w:val="ro-RO" w:eastAsia="ro-MD"/>
        </w:rPr>
      </w:pPr>
      <w:r w:rsidRPr="002D468A">
        <w:rPr>
          <w:color w:val="000000" w:themeColor="text1"/>
          <w:lang w:val="ro-RO" w:eastAsia="ro-MD"/>
        </w:rPr>
        <w:t>la subpunct</w:t>
      </w:r>
      <w:r w:rsidR="00347314" w:rsidRPr="002D468A">
        <w:rPr>
          <w:color w:val="000000" w:themeColor="text1"/>
          <w:lang w:val="ro-RO" w:eastAsia="ro-MD"/>
        </w:rPr>
        <w:t>ele</w:t>
      </w:r>
      <w:r w:rsidRPr="002D468A">
        <w:rPr>
          <w:color w:val="000000" w:themeColor="text1"/>
          <w:lang w:val="ro-RO" w:eastAsia="ro-MD"/>
        </w:rPr>
        <w:t xml:space="preserve"> </w:t>
      </w:r>
      <w:r w:rsidR="00347314" w:rsidRPr="002D468A">
        <w:rPr>
          <w:color w:val="000000" w:themeColor="text1"/>
          <w:lang w:val="ro-RO" w:eastAsia="ro-MD"/>
        </w:rPr>
        <w:t>4</w:t>
      </w:r>
      <w:r w:rsidRPr="002D468A">
        <w:rPr>
          <w:color w:val="000000" w:themeColor="text1"/>
          <w:lang w:val="ro-RO" w:eastAsia="ro-MD"/>
        </w:rPr>
        <w:t>)</w:t>
      </w:r>
      <w:r w:rsidR="00347314" w:rsidRPr="002D468A">
        <w:rPr>
          <w:color w:val="000000" w:themeColor="text1"/>
          <w:lang w:val="ro-RO" w:eastAsia="ro-MD"/>
        </w:rPr>
        <w:t>, 5) și 6)</w:t>
      </w:r>
      <w:r w:rsidR="00274FFD" w:rsidRPr="002D468A">
        <w:rPr>
          <w:color w:val="000000" w:themeColor="text1"/>
          <w:lang w:val="ro-RO" w:eastAsia="ro-MD"/>
        </w:rPr>
        <w:t>,</w:t>
      </w:r>
      <w:r w:rsidR="00347314" w:rsidRPr="002D468A">
        <w:rPr>
          <w:color w:val="000000" w:themeColor="text1"/>
          <w:lang w:val="ro-RO" w:eastAsia="ro-MD"/>
        </w:rPr>
        <w:t xml:space="preserve"> după </w:t>
      </w:r>
      <w:r w:rsidR="00AB49F3" w:rsidRPr="002D468A">
        <w:rPr>
          <w:color w:val="000000" w:themeColor="text1"/>
          <w:lang w:val="ro-RO" w:eastAsia="ro-MD"/>
        </w:rPr>
        <w:t xml:space="preserve">cuvintele </w:t>
      </w:r>
      <w:r w:rsidR="00347314" w:rsidRPr="002D468A">
        <w:rPr>
          <w:color w:val="000000" w:themeColor="text1"/>
          <w:lang w:val="ro-RO" w:eastAsia="ro-MD"/>
        </w:rPr>
        <w:t>„efectuată de o ECAI” se completează cu textul „</w:t>
      </w:r>
      <w:r w:rsidR="00AB49F3" w:rsidRPr="002D468A">
        <w:rPr>
          <w:color w:val="000000" w:themeColor="text1"/>
          <w:lang w:val="ro-RO" w:eastAsia="ro-MD"/>
        </w:rPr>
        <w:t>, desemnată de bancă în sensul Regulamentului nr.111/2018”;</w:t>
      </w:r>
    </w:p>
    <w:p w14:paraId="21FEE5A3" w14:textId="109BAD8E" w:rsidR="00AB49F3" w:rsidRPr="002D468A" w:rsidRDefault="00AB49F3" w:rsidP="008152E2">
      <w:pPr>
        <w:pStyle w:val="ListParagraph"/>
        <w:numPr>
          <w:ilvl w:val="2"/>
          <w:numId w:val="27"/>
        </w:numPr>
        <w:ind w:left="0" w:firstLine="567"/>
        <w:jc w:val="both"/>
        <w:rPr>
          <w:color w:val="000000" w:themeColor="text1"/>
          <w:lang w:val="ro-RO" w:eastAsia="ro-MD"/>
        </w:rPr>
      </w:pPr>
      <w:r w:rsidRPr="002D468A">
        <w:rPr>
          <w:color w:val="000000" w:themeColor="text1"/>
          <w:lang w:val="ro-RO" w:eastAsia="ro-MD"/>
        </w:rPr>
        <w:t>la subpunctul 8)</w:t>
      </w:r>
      <w:r w:rsidR="00274FFD" w:rsidRPr="002D468A">
        <w:rPr>
          <w:color w:val="000000" w:themeColor="text1"/>
          <w:lang w:val="ro-RO" w:eastAsia="ro-MD"/>
        </w:rPr>
        <w:t>,</w:t>
      </w:r>
      <w:r w:rsidRPr="002D468A">
        <w:rPr>
          <w:color w:val="000000" w:themeColor="text1"/>
          <w:lang w:val="ro-RO" w:eastAsia="ro-MD"/>
        </w:rPr>
        <w:t xml:space="preserve"> cuvântul „aur” se substituie cu </w:t>
      </w:r>
      <w:r w:rsidR="006640CA" w:rsidRPr="002D468A">
        <w:rPr>
          <w:color w:val="000000" w:themeColor="text1"/>
          <w:lang w:val="ro-RO" w:eastAsia="ro-MD"/>
        </w:rPr>
        <w:t xml:space="preserve">cuvintele </w:t>
      </w:r>
      <w:r w:rsidRPr="002D468A">
        <w:rPr>
          <w:color w:val="000000" w:themeColor="text1"/>
          <w:lang w:val="ro-RO" w:eastAsia="ro-MD"/>
        </w:rPr>
        <w:t>„lingouri de aur”;</w:t>
      </w:r>
    </w:p>
    <w:p w14:paraId="2A2A7940" w14:textId="4329E2FC" w:rsidR="00AB49F3" w:rsidRPr="002D468A" w:rsidRDefault="00E1208E" w:rsidP="008152E2">
      <w:pPr>
        <w:pStyle w:val="ListParagraph"/>
        <w:numPr>
          <w:ilvl w:val="2"/>
          <w:numId w:val="27"/>
        </w:numPr>
        <w:ind w:left="0" w:firstLine="567"/>
        <w:jc w:val="both"/>
        <w:rPr>
          <w:color w:val="000000" w:themeColor="text1"/>
          <w:lang w:val="ro-RO" w:eastAsia="ro-MD"/>
        </w:rPr>
      </w:pPr>
      <w:r w:rsidRPr="002D468A">
        <w:rPr>
          <w:color w:val="000000" w:themeColor="text1"/>
          <w:lang w:val="ro-RO" w:eastAsia="ro-MD"/>
        </w:rPr>
        <w:t>se completează cu subpunctul 9) cu următorul cuprins:</w:t>
      </w:r>
    </w:p>
    <w:p w14:paraId="47F606B4" w14:textId="1AFB5F01" w:rsidR="00E1208E" w:rsidRPr="002D468A" w:rsidRDefault="00E1208E" w:rsidP="00E1208E">
      <w:pPr>
        <w:jc w:val="both"/>
        <w:rPr>
          <w:color w:val="000000" w:themeColor="text1"/>
          <w:lang w:val="ro-RO" w:eastAsia="ro-MD"/>
        </w:rPr>
      </w:pPr>
      <w:r w:rsidRPr="002D468A">
        <w:rPr>
          <w:color w:val="000000" w:themeColor="text1"/>
          <w:lang w:val="ro-RO" w:eastAsia="ro-MD"/>
        </w:rPr>
        <w:t>„</w:t>
      </w:r>
      <w:r w:rsidR="007F1B7A" w:rsidRPr="002D468A">
        <w:rPr>
          <w:color w:val="000000" w:themeColor="text1"/>
          <w:lang w:val="ro-RO" w:eastAsia="ro-MD"/>
        </w:rPr>
        <w:t xml:space="preserve">9) poziții din securitizare care nu sunt poziții din </w:t>
      </w:r>
      <w:proofErr w:type="spellStart"/>
      <w:r w:rsidR="007F1B7A" w:rsidRPr="002D468A">
        <w:rPr>
          <w:color w:val="000000" w:themeColor="text1"/>
          <w:lang w:val="ro-RO" w:eastAsia="ro-MD"/>
        </w:rPr>
        <w:t>resecuritizare</w:t>
      </w:r>
      <w:proofErr w:type="spellEnd"/>
      <w:r w:rsidR="007F1B7A" w:rsidRPr="002D468A">
        <w:rPr>
          <w:color w:val="000000" w:themeColor="text1"/>
          <w:lang w:val="ro-RO" w:eastAsia="ro-MD"/>
        </w:rPr>
        <w:t xml:space="preserve"> și cărora li se aplică o pondere de risc de 100% sau mai mică în conformitate cu </w:t>
      </w:r>
      <w:r w:rsidR="004F758A" w:rsidRPr="002D468A">
        <w:rPr>
          <w:color w:val="000000" w:themeColor="text1"/>
          <w:lang w:val="ro-RO" w:eastAsia="ro-MD"/>
        </w:rPr>
        <w:t>Regulamentul nr. 221/2025 privind tratamentul prudențial al securitizărilor</w:t>
      </w:r>
      <w:r w:rsidR="007F1B7A" w:rsidRPr="002D468A">
        <w:rPr>
          <w:color w:val="000000" w:themeColor="text1"/>
          <w:lang w:val="ro-RO" w:eastAsia="ro-MD"/>
        </w:rPr>
        <w:t>.”.</w:t>
      </w:r>
    </w:p>
    <w:p w14:paraId="0327D67C" w14:textId="32DB0A10" w:rsidR="007C3CFF" w:rsidRPr="002D468A" w:rsidRDefault="00AF0A40" w:rsidP="00DD1675">
      <w:pPr>
        <w:pStyle w:val="ListParagraph"/>
        <w:numPr>
          <w:ilvl w:val="1"/>
          <w:numId w:val="27"/>
        </w:numPr>
        <w:tabs>
          <w:tab w:val="left" w:pos="567"/>
        </w:tabs>
        <w:spacing w:before="80"/>
        <w:ind w:left="0" w:firstLine="567"/>
        <w:jc w:val="both"/>
        <w:rPr>
          <w:color w:val="000000" w:themeColor="text1"/>
          <w:lang w:val="ro-MD"/>
        </w:rPr>
      </w:pPr>
      <w:r w:rsidRPr="002D468A">
        <w:rPr>
          <w:color w:val="000000" w:themeColor="text1"/>
          <w:lang w:val="ro-MD"/>
        </w:rPr>
        <w:t xml:space="preserve">Punctul </w:t>
      </w:r>
      <w:r w:rsidR="00B71FB3" w:rsidRPr="002D468A">
        <w:rPr>
          <w:color w:val="000000" w:themeColor="text1"/>
          <w:lang w:val="ro-MD"/>
        </w:rPr>
        <w:t xml:space="preserve">26 </w:t>
      </w:r>
      <w:r w:rsidRPr="002D468A">
        <w:rPr>
          <w:color w:val="000000" w:themeColor="text1"/>
          <w:lang w:val="ro-MD"/>
        </w:rPr>
        <w:t>se completează cu subpunct</w:t>
      </w:r>
      <w:r w:rsidR="00B71FB3" w:rsidRPr="002D468A">
        <w:rPr>
          <w:color w:val="000000" w:themeColor="text1"/>
          <w:lang w:val="ro-MD"/>
        </w:rPr>
        <w:t>ul 4)</w:t>
      </w:r>
      <w:r w:rsidRPr="002D468A">
        <w:rPr>
          <w:color w:val="000000" w:themeColor="text1"/>
          <w:lang w:val="ro-MD"/>
        </w:rPr>
        <w:t xml:space="preserve"> </w:t>
      </w:r>
      <w:r w:rsidR="00445C23" w:rsidRPr="002D468A">
        <w:rPr>
          <w:color w:val="000000" w:themeColor="text1"/>
          <w:lang w:val="ro-MD"/>
        </w:rPr>
        <w:t>cu următorul cuprins:</w:t>
      </w:r>
    </w:p>
    <w:p w14:paraId="6306B3E8" w14:textId="0E97AA65" w:rsidR="00445C23" w:rsidRPr="002D468A" w:rsidRDefault="00445C23" w:rsidP="00C20516">
      <w:pPr>
        <w:jc w:val="both"/>
        <w:rPr>
          <w:color w:val="000000" w:themeColor="text1"/>
          <w:lang w:val="ro-MD"/>
        </w:rPr>
      </w:pPr>
      <w:r w:rsidRPr="002D468A">
        <w:rPr>
          <w:color w:val="000000" w:themeColor="text1"/>
          <w:lang w:val="ro-MD"/>
        </w:rPr>
        <w:t>„</w:t>
      </w:r>
      <w:r w:rsidR="00C20516" w:rsidRPr="002D468A">
        <w:rPr>
          <w:color w:val="000000" w:themeColor="text1"/>
          <w:lang w:val="ro-RO" w:eastAsia="ro-MD"/>
        </w:rPr>
        <w:t>4) titluri de datorie emise de administrații regionale sau de autorități locale, dacă expunerile față de acestea se tratează ca expuneri față de administrația centrală în a cărei jurisdicție sunt stabilite, în conformitate cu Regulamentul nr.111/2018</w:t>
      </w:r>
      <w:r w:rsidRPr="002D468A">
        <w:rPr>
          <w:color w:val="000000" w:themeColor="text1"/>
          <w:lang w:val="ro-RO" w:eastAsia="ro-MD"/>
        </w:rPr>
        <w:t>.”.</w:t>
      </w:r>
    </w:p>
    <w:p w14:paraId="40F6C8A7" w14:textId="1852EE91" w:rsidR="00442410" w:rsidRPr="002D468A" w:rsidRDefault="00442410" w:rsidP="002C0F98">
      <w:pPr>
        <w:pStyle w:val="ListParagraph"/>
        <w:numPr>
          <w:ilvl w:val="1"/>
          <w:numId w:val="27"/>
        </w:numPr>
        <w:tabs>
          <w:tab w:val="left" w:pos="567"/>
        </w:tabs>
        <w:spacing w:before="80"/>
        <w:ind w:left="0" w:firstLine="567"/>
        <w:jc w:val="both"/>
        <w:rPr>
          <w:color w:val="000000" w:themeColor="text1"/>
          <w:lang w:val="ro-RO" w:eastAsia="ro-MD"/>
        </w:rPr>
      </w:pPr>
      <w:r w:rsidRPr="002D468A">
        <w:rPr>
          <w:color w:val="000000" w:themeColor="text1"/>
          <w:lang w:val="ro-MD"/>
        </w:rPr>
        <w:t xml:space="preserve">La punctul </w:t>
      </w:r>
      <w:r w:rsidR="00C20516" w:rsidRPr="002D468A">
        <w:rPr>
          <w:color w:val="000000" w:themeColor="text1"/>
          <w:lang w:val="ro-MD"/>
        </w:rPr>
        <w:t>2</w:t>
      </w:r>
      <w:r w:rsidRPr="002D468A">
        <w:rPr>
          <w:color w:val="000000" w:themeColor="text1"/>
          <w:lang w:val="ro-MD"/>
        </w:rPr>
        <w:t xml:space="preserve">7, subpunctul </w:t>
      </w:r>
      <w:r w:rsidR="00C20516" w:rsidRPr="002D468A">
        <w:rPr>
          <w:color w:val="000000" w:themeColor="text1"/>
          <w:lang w:val="ro-MD"/>
        </w:rPr>
        <w:t>4</w:t>
      </w:r>
      <w:r w:rsidRPr="002D468A">
        <w:rPr>
          <w:color w:val="000000" w:themeColor="text1"/>
          <w:lang w:val="ro-MD"/>
        </w:rPr>
        <w:t xml:space="preserve">) </w:t>
      </w:r>
      <w:r w:rsidR="00C20516" w:rsidRPr="002D468A">
        <w:rPr>
          <w:color w:val="000000" w:themeColor="text1"/>
          <w:lang w:val="ro-MD"/>
        </w:rPr>
        <w:t xml:space="preserve">se </w:t>
      </w:r>
      <w:r w:rsidR="0006661B" w:rsidRPr="002D468A">
        <w:rPr>
          <w:color w:val="000000" w:themeColor="text1"/>
          <w:lang w:val="ro-MD"/>
        </w:rPr>
        <w:t>abrogă</w:t>
      </w:r>
      <w:r w:rsidRPr="002D468A">
        <w:rPr>
          <w:color w:val="000000" w:themeColor="text1"/>
          <w:lang w:val="ro-RO" w:eastAsia="ro-MD"/>
        </w:rPr>
        <w:t>.</w:t>
      </w:r>
    </w:p>
    <w:p w14:paraId="3CEEE861" w14:textId="46D960D2" w:rsidR="00442410" w:rsidRPr="002D468A" w:rsidRDefault="00C20516" w:rsidP="00DD1675">
      <w:pPr>
        <w:pStyle w:val="ListParagraph"/>
        <w:numPr>
          <w:ilvl w:val="1"/>
          <w:numId w:val="27"/>
        </w:numPr>
        <w:tabs>
          <w:tab w:val="left" w:pos="567"/>
        </w:tabs>
        <w:spacing w:before="80"/>
        <w:ind w:left="0" w:firstLine="567"/>
        <w:contextualSpacing w:val="0"/>
        <w:jc w:val="both"/>
        <w:rPr>
          <w:color w:val="000000" w:themeColor="text1"/>
          <w:lang w:val="ro-MD"/>
        </w:rPr>
      </w:pPr>
      <w:r w:rsidRPr="002D468A">
        <w:rPr>
          <w:color w:val="000000" w:themeColor="text1"/>
          <w:lang w:val="ro-MD"/>
        </w:rPr>
        <w:t>La p</w:t>
      </w:r>
      <w:r w:rsidR="005419FF" w:rsidRPr="002D468A">
        <w:rPr>
          <w:color w:val="000000" w:themeColor="text1"/>
          <w:lang w:val="ro-MD"/>
        </w:rPr>
        <w:t xml:space="preserve">unctul </w:t>
      </w:r>
      <w:r w:rsidRPr="002D468A">
        <w:rPr>
          <w:color w:val="000000" w:themeColor="text1"/>
          <w:lang w:val="ro-MD"/>
        </w:rPr>
        <w:t>28</w:t>
      </w:r>
      <w:r w:rsidR="006952B7" w:rsidRPr="002D468A">
        <w:rPr>
          <w:color w:val="000000" w:themeColor="text1"/>
          <w:lang w:val="ro-MD"/>
        </w:rPr>
        <w:t>,</w:t>
      </w:r>
      <w:r w:rsidRPr="002D468A">
        <w:rPr>
          <w:color w:val="000000" w:themeColor="text1"/>
          <w:lang w:val="ro-MD"/>
        </w:rPr>
        <w:t xml:space="preserve"> </w:t>
      </w:r>
      <w:r w:rsidRPr="002D468A">
        <w:rPr>
          <w:color w:val="000000" w:themeColor="text1"/>
          <w:lang w:val="ro-RO"/>
        </w:rPr>
        <w:t>în preambul</w:t>
      </w:r>
      <w:r w:rsidR="006952B7" w:rsidRPr="002D468A">
        <w:rPr>
          <w:color w:val="000000" w:themeColor="text1"/>
          <w:lang w:val="ro-RO"/>
        </w:rPr>
        <w:t>,</w:t>
      </w:r>
      <w:r w:rsidRPr="002D468A">
        <w:rPr>
          <w:color w:val="000000" w:themeColor="text1"/>
          <w:lang w:val="ro-RO"/>
        </w:rPr>
        <w:t xml:space="preserve"> cuvintele „emise de alte bănci” se completează cu cuvintele „sau de societăți de investiții”</w:t>
      </w:r>
      <w:r w:rsidR="005419FF" w:rsidRPr="002D468A">
        <w:rPr>
          <w:color w:val="000000" w:themeColor="text1"/>
          <w:lang w:val="ro-MD"/>
        </w:rPr>
        <w:t>.</w:t>
      </w:r>
    </w:p>
    <w:p w14:paraId="608695EE" w14:textId="77777777" w:rsidR="00B168FB" w:rsidRPr="002D468A" w:rsidRDefault="00BC0E0D" w:rsidP="00DD1675">
      <w:pPr>
        <w:pStyle w:val="ListParagraph"/>
        <w:numPr>
          <w:ilvl w:val="1"/>
          <w:numId w:val="27"/>
        </w:numPr>
        <w:tabs>
          <w:tab w:val="left" w:pos="567"/>
        </w:tabs>
        <w:spacing w:before="80"/>
        <w:ind w:left="0" w:firstLine="567"/>
        <w:contextualSpacing w:val="0"/>
        <w:jc w:val="both"/>
        <w:rPr>
          <w:color w:val="000000" w:themeColor="text1"/>
          <w:lang w:val="ro-MD"/>
        </w:rPr>
      </w:pPr>
      <w:r w:rsidRPr="002D468A">
        <w:rPr>
          <w:color w:val="000000" w:themeColor="text1"/>
          <w:lang w:val="ro-MD"/>
        </w:rPr>
        <w:t>Se completează cu punctele 28</w:t>
      </w:r>
      <w:r w:rsidRPr="002D468A">
        <w:rPr>
          <w:color w:val="000000" w:themeColor="text1"/>
          <w:vertAlign w:val="superscript"/>
          <w:lang w:val="ro-MD"/>
        </w:rPr>
        <w:t>1</w:t>
      </w:r>
      <w:r w:rsidRPr="002D468A">
        <w:rPr>
          <w:color w:val="000000" w:themeColor="text1"/>
          <w:lang w:val="ro-MD"/>
        </w:rPr>
        <w:t>-</w:t>
      </w:r>
      <w:r w:rsidR="00B168FB" w:rsidRPr="002D468A">
        <w:rPr>
          <w:color w:val="000000" w:themeColor="text1"/>
          <w:lang w:val="ro-MD"/>
        </w:rPr>
        <w:t>28</w:t>
      </w:r>
      <w:r w:rsidR="00B168FB" w:rsidRPr="002D468A">
        <w:rPr>
          <w:color w:val="000000" w:themeColor="text1"/>
          <w:vertAlign w:val="superscript"/>
          <w:lang w:val="ro-MD"/>
        </w:rPr>
        <w:t>6</w:t>
      </w:r>
      <w:r w:rsidR="00B168FB" w:rsidRPr="002D468A">
        <w:rPr>
          <w:color w:val="000000" w:themeColor="text1"/>
          <w:lang w:val="ro-MD"/>
        </w:rPr>
        <w:t xml:space="preserve"> cu următorul cuprins:</w:t>
      </w:r>
    </w:p>
    <w:p w14:paraId="54D02FBC" w14:textId="313322FE" w:rsidR="00B168FB" w:rsidRPr="002D468A" w:rsidRDefault="00F45577" w:rsidP="00A86E98">
      <w:pPr>
        <w:jc w:val="both"/>
        <w:rPr>
          <w:color w:val="000000" w:themeColor="text1"/>
          <w:lang w:val="ro-RO" w:eastAsia="ro-MD"/>
        </w:rPr>
      </w:pPr>
      <w:r w:rsidRPr="002D468A">
        <w:rPr>
          <w:color w:val="000000" w:themeColor="text1"/>
          <w:lang w:val="ro-RO" w:eastAsia="ro-MD"/>
        </w:rPr>
        <w:t>„</w:t>
      </w:r>
      <w:r w:rsidR="00B168FB" w:rsidRPr="002D468A">
        <w:rPr>
          <w:b/>
          <w:bCs/>
          <w:color w:val="000000" w:themeColor="text1"/>
          <w:lang w:val="ro-RO" w:eastAsia="ro-MD"/>
        </w:rPr>
        <w:t>28</w:t>
      </w:r>
      <w:r w:rsidR="00B168FB" w:rsidRPr="002D468A">
        <w:rPr>
          <w:b/>
          <w:bCs/>
          <w:color w:val="000000" w:themeColor="text1"/>
          <w:vertAlign w:val="superscript"/>
          <w:lang w:val="ro-RO" w:eastAsia="ro-MD"/>
        </w:rPr>
        <w:t>1</w:t>
      </w:r>
      <w:r w:rsidR="00B168FB" w:rsidRPr="002D468A">
        <w:rPr>
          <w:b/>
          <w:bCs/>
          <w:color w:val="000000" w:themeColor="text1"/>
          <w:lang w:val="ro-RO" w:eastAsia="ro-MD"/>
        </w:rPr>
        <w:t>.</w:t>
      </w:r>
      <w:r w:rsidR="00B168FB" w:rsidRPr="002D468A">
        <w:rPr>
          <w:color w:val="000000" w:themeColor="text1"/>
          <w:lang w:val="ro-MD"/>
        </w:rPr>
        <w:t xml:space="preserve"> </w:t>
      </w:r>
      <w:r w:rsidR="00B168FB" w:rsidRPr="002D468A">
        <w:rPr>
          <w:color w:val="000000" w:themeColor="text1"/>
          <w:lang w:val="ro-RO" w:eastAsia="ro-MD"/>
        </w:rPr>
        <w:t>Băncile pot utiliza unitățile sau acțiunile deținute în OPC drept garanții reale eligibile, în cazul în care sunt îndeplinite cumulativ următoarele condiții:</w:t>
      </w:r>
    </w:p>
    <w:p w14:paraId="51C415EA" w14:textId="77777777" w:rsidR="00B168FB" w:rsidRPr="002D468A" w:rsidRDefault="00B168FB" w:rsidP="00A86E98">
      <w:pPr>
        <w:ind w:firstLine="567"/>
        <w:jc w:val="both"/>
        <w:rPr>
          <w:color w:val="000000" w:themeColor="text1"/>
          <w:lang w:val="ro-RO" w:eastAsia="ro-MD"/>
        </w:rPr>
      </w:pPr>
      <w:r w:rsidRPr="002D468A">
        <w:rPr>
          <w:color w:val="000000" w:themeColor="text1"/>
          <w:lang w:val="ro-RO" w:eastAsia="ro-MD"/>
        </w:rPr>
        <w:t>1) unitățile sau acțiunile au o cotație publică zilnică a prețului;</w:t>
      </w:r>
    </w:p>
    <w:p w14:paraId="6A898AF2" w14:textId="77777777" w:rsidR="00B168FB" w:rsidRPr="002D468A" w:rsidRDefault="00B168FB" w:rsidP="00A86E98">
      <w:pPr>
        <w:ind w:firstLine="567"/>
        <w:jc w:val="both"/>
        <w:rPr>
          <w:color w:val="000000" w:themeColor="text1"/>
          <w:lang w:val="ro-RO" w:eastAsia="ro-MD"/>
        </w:rPr>
      </w:pPr>
      <w:r w:rsidRPr="002D468A">
        <w:rPr>
          <w:color w:val="000000" w:themeColor="text1"/>
          <w:lang w:val="ro-RO" w:eastAsia="ro-MD"/>
        </w:rPr>
        <w:t>2) OPC se limitează la investiții în instrumente care sunt eligibile pentru recunoaștere în temeiul punctelor 25 și 28;</w:t>
      </w:r>
    </w:p>
    <w:p w14:paraId="39A4570E" w14:textId="18348085" w:rsidR="00B168FB" w:rsidRPr="002D468A" w:rsidRDefault="00B168FB" w:rsidP="00A86E98">
      <w:pPr>
        <w:ind w:firstLine="567"/>
        <w:jc w:val="both"/>
        <w:rPr>
          <w:color w:val="000000" w:themeColor="text1"/>
          <w:lang w:val="ro-RO" w:eastAsia="ro-MD"/>
        </w:rPr>
      </w:pPr>
      <w:r w:rsidRPr="002D468A">
        <w:rPr>
          <w:color w:val="000000" w:themeColor="text1"/>
          <w:lang w:val="ro-RO" w:eastAsia="ro-MD"/>
        </w:rPr>
        <w:t>3) OPC îndeplinesc condițiile pentru stabilirea valorii expunerii ponderate la risc pentru expunerile unui OPC prevăzute  Regulamentul nr.111/2018.</w:t>
      </w:r>
    </w:p>
    <w:p w14:paraId="70AC9890" w14:textId="668D2BF0" w:rsidR="00B168FB" w:rsidRPr="002D468A" w:rsidRDefault="00B168FB" w:rsidP="00A86E98">
      <w:pPr>
        <w:jc w:val="both"/>
        <w:rPr>
          <w:color w:val="000000" w:themeColor="text1"/>
          <w:lang w:val="ro-RO" w:eastAsia="ro-MD"/>
        </w:rPr>
      </w:pPr>
      <w:r w:rsidRPr="002D468A">
        <w:rPr>
          <w:b/>
          <w:bCs/>
          <w:color w:val="000000" w:themeColor="text1"/>
          <w:lang w:val="ro-RO" w:eastAsia="ro-MD"/>
        </w:rPr>
        <w:t>28</w:t>
      </w:r>
      <w:r w:rsidRPr="002D468A">
        <w:rPr>
          <w:b/>
          <w:bCs/>
          <w:color w:val="000000" w:themeColor="text1"/>
          <w:vertAlign w:val="superscript"/>
          <w:lang w:val="ro-RO" w:eastAsia="ro-MD"/>
        </w:rPr>
        <w:t>2</w:t>
      </w:r>
      <w:r w:rsidRPr="002D468A">
        <w:rPr>
          <w:b/>
          <w:bCs/>
          <w:color w:val="000000" w:themeColor="text1"/>
          <w:lang w:val="ro-RO" w:eastAsia="ro-MD"/>
        </w:rPr>
        <w:t>.</w:t>
      </w:r>
      <w:r w:rsidRPr="002D468A">
        <w:rPr>
          <w:color w:val="000000" w:themeColor="text1"/>
          <w:lang w:val="ro-RO" w:eastAsia="ro-MD"/>
        </w:rPr>
        <w:t xml:space="preserve"> În cazul în care un OPC investește în acțiunile sau unitățile altui OPC, condițiile prevăzute la subpunctele 1)-3) de la punctul 28</w:t>
      </w:r>
      <w:r w:rsidRPr="002D468A">
        <w:rPr>
          <w:color w:val="000000" w:themeColor="text1"/>
          <w:vertAlign w:val="superscript"/>
          <w:lang w:val="ro-RO" w:eastAsia="ro-MD"/>
        </w:rPr>
        <w:t>1</w:t>
      </w:r>
      <w:r w:rsidRPr="002D468A">
        <w:rPr>
          <w:color w:val="000000" w:themeColor="text1"/>
          <w:lang w:val="ro-RO" w:eastAsia="ro-MD"/>
        </w:rPr>
        <w:t xml:space="preserve"> se aplică, de asemenea, oricărui astfel de OPC-suport.</w:t>
      </w:r>
      <w:r w:rsidRPr="002D468A">
        <w:rPr>
          <w:color w:val="000000" w:themeColor="text1"/>
          <w:sz w:val="18"/>
          <w:szCs w:val="18"/>
          <w:lang w:val="ro-RO" w:eastAsia="ro-MD"/>
        </w:rPr>
        <w:t xml:space="preserve"> </w:t>
      </w:r>
    </w:p>
    <w:p w14:paraId="2865BC68" w14:textId="6E8B06B4" w:rsidR="00B168FB" w:rsidRPr="002D468A" w:rsidRDefault="00B168FB" w:rsidP="00A86E98">
      <w:pPr>
        <w:jc w:val="both"/>
        <w:rPr>
          <w:color w:val="000000" w:themeColor="text1"/>
          <w:lang w:val="ro-RO" w:eastAsia="ro-MD"/>
        </w:rPr>
      </w:pPr>
      <w:r w:rsidRPr="002D468A">
        <w:rPr>
          <w:b/>
          <w:bCs/>
          <w:color w:val="000000" w:themeColor="text1"/>
          <w:lang w:val="ro-RO" w:eastAsia="ro-MD"/>
        </w:rPr>
        <w:t>28</w:t>
      </w:r>
      <w:r w:rsidRPr="002D468A">
        <w:rPr>
          <w:b/>
          <w:bCs/>
          <w:color w:val="000000" w:themeColor="text1"/>
          <w:vertAlign w:val="superscript"/>
          <w:lang w:val="ro-RO" w:eastAsia="ro-MD"/>
        </w:rPr>
        <w:t>3</w:t>
      </w:r>
      <w:r w:rsidRPr="002D468A">
        <w:rPr>
          <w:b/>
          <w:bCs/>
          <w:color w:val="000000" w:themeColor="text1"/>
          <w:lang w:val="ro-RO" w:eastAsia="ro-MD"/>
        </w:rPr>
        <w:t xml:space="preserve">. </w:t>
      </w:r>
      <w:r w:rsidRPr="002D468A">
        <w:rPr>
          <w:color w:val="000000" w:themeColor="text1"/>
          <w:lang w:val="ro-RO" w:eastAsia="ro-MD"/>
        </w:rPr>
        <w:t>Utilizarea de către un OPC a instrumentelor financiare derivate pentru acoperirea riscurilor aferente investițiilor permise nu afectează eligibilitatea ca garanții reale a unităților sau a acțiunilor deținute în acest organism.</w:t>
      </w:r>
    </w:p>
    <w:p w14:paraId="61F9B16E" w14:textId="77777777" w:rsidR="00B168FB" w:rsidRPr="002D468A" w:rsidRDefault="00B168FB" w:rsidP="00A86E98">
      <w:pPr>
        <w:jc w:val="both"/>
        <w:rPr>
          <w:color w:val="000000" w:themeColor="text1"/>
          <w:lang w:val="ro-RO" w:eastAsia="ro-MD"/>
        </w:rPr>
      </w:pPr>
      <w:r w:rsidRPr="002D468A">
        <w:rPr>
          <w:b/>
          <w:bCs/>
          <w:color w:val="000000" w:themeColor="text1"/>
          <w:lang w:val="ro-RO" w:eastAsia="ro-MD"/>
        </w:rPr>
        <w:t>28</w:t>
      </w:r>
      <w:r w:rsidRPr="002D468A">
        <w:rPr>
          <w:b/>
          <w:bCs/>
          <w:color w:val="000000" w:themeColor="text1"/>
          <w:vertAlign w:val="superscript"/>
          <w:lang w:val="ro-RO" w:eastAsia="ro-MD"/>
        </w:rPr>
        <w:t>4</w:t>
      </w:r>
      <w:r w:rsidRPr="002D468A">
        <w:rPr>
          <w:b/>
          <w:bCs/>
          <w:color w:val="000000" w:themeColor="text1"/>
          <w:lang w:val="ro-RO" w:eastAsia="ro-MD"/>
        </w:rPr>
        <w:t>.</w:t>
      </w:r>
      <w:r w:rsidRPr="002D468A">
        <w:rPr>
          <w:color w:val="000000" w:themeColor="text1"/>
          <w:lang w:val="ro-RO" w:eastAsia="ro-MD"/>
        </w:rPr>
        <w:t xml:space="preserve"> În sensul punctelor 28</w:t>
      </w:r>
      <w:r w:rsidRPr="002D468A">
        <w:rPr>
          <w:color w:val="000000" w:themeColor="text1"/>
          <w:vertAlign w:val="superscript"/>
          <w:lang w:val="ro-RO" w:eastAsia="ro-MD"/>
        </w:rPr>
        <w:t>1</w:t>
      </w:r>
      <w:r w:rsidRPr="002D468A">
        <w:rPr>
          <w:color w:val="000000" w:themeColor="text1"/>
          <w:lang w:val="ro-RO" w:eastAsia="ro-MD"/>
        </w:rPr>
        <w:t>-28</w:t>
      </w:r>
      <w:r w:rsidRPr="002D468A">
        <w:rPr>
          <w:color w:val="000000" w:themeColor="text1"/>
          <w:vertAlign w:val="superscript"/>
          <w:lang w:val="ro-RO" w:eastAsia="ro-MD"/>
        </w:rPr>
        <w:t>3</w:t>
      </w:r>
      <w:r w:rsidRPr="002D468A">
        <w:rPr>
          <w:color w:val="000000" w:themeColor="text1"/>
          <w:lang w:val="ro-RO" w:eastAsia="ro-MD"/>
        </w:rPr>
        <w:t>, dacă un OPC (denumit în continuare „OPC-ul inițial”) sau oricare dintre OPC-urile sale suport nu se limitează să investească în instrumente care sunt eligibile în temeiul punctelor 25-28, se aplică următoarele dispoziții:</w:t>
      </w:r>
    </w:p>
    <w:p w14:paraId="4318A606" w14:textId="229FE368" w:rsidR="00B168FB" w:rsidRPr="002D468A" w:rsidRDefault="00B168FB" w:rsidP="00A86E98">
      <w:pPr>
        <w:ind w:firstLine="567"/>
        <w:jc w:val="both"/>
        <w:rPr>
          <w:color w:val="000000" w:themeColor="text1"/>
          <w:lang w:val="ro-RO" w:eastAsia="ro-MD"/>
        </w:rPr>
      </w:pPr>
      <w:r w:rsidRPr="002D468A">
        <w:rPr>
          <w:color w:val="000000" w:themeColor="text1"/>
          <w:lang w:val="ro-RO" w:eastAsia="ro-MD"/>
        </w:rPr>
        <w:t>1) dacă băncile aplică abordarea transparentă de tip look-</w:t>
      </w:r>
      <w:proofErr w:type="spellStart"/>
      <w:r w:rsidRPr="002D468A">
        <w:rPr>
          <w:color w:val="000000" w:themeColor="text1"/>
          <w:lang w:val="ro-RO" w:eastAsia="ro-MD"/>
        </w:rPr>
        <w:t>through</w:t>
      </w:r>
      <w:proofErr w:type="spellEnd"/>
      <w:r w:rsidRPr="002D468A">
        <w:rPr>
          <w:color w:val="000000" w:themeColor="text1"/>
          <w:lang w:val="ro-RO" w:eastAsia="ro-MD"/>
        </w:rPr>
        <w:t xml:space="preserve"> menționată în Regulamentul nr.111/2018 sau actul normativ al Băncii Naționale a Moldovei aferent tratamentului riscului de credit potrivit abordării bazate pe modele interne de rating pentru expuneri directe față de un OPC, acestea pot utiliza unități sau acțiuni pe care le dețin în respectivul OPC drept garanții reale până la o sumă egală cu valoarea instrumentelor deținute de respectivul OPC care sunt eligibile în temeiul punctelor 25-28 din prezentul regulament;</w:t>
      </w:r>
    </w:p>
    <w:p w14:paraId="23A5FE96" w14:textId="772AECC2" w:rsidR="00B168FB" w:rsidRPr="002D468A" w:rsidRDefault="00B168FB" w:rsidP="00B168FB">
      <w:pPr>
        <w:ind w:firstLine="567"/>
        <w:jc w:val="both"/>
        <w:rPr>
          <w:color w:val="000000" w:themeColor="text1"/>
          <w:lang w:val="ro-RO" w:eastAsia="ro-MD"/>
        </w:rPr>
      </w:pPr>
      <w:r w:rsidRPr="002D468A">
        <w:rPr>
          <w:color w:val="000000" w:themeColor="text1"/>
          <w:lang w:val="ro-RO" w:eastAsia="ro-MD"/>
        </w:rPr>
        <w:lastRenderedPageBreak/>
        <w:t>2) dacă băncile aplică abordarea pe bază de mandat menționată în Regulamentul Nr.111/2018</w:t>
      </w:r>
      <w:r w:rsidR="00F45577" w:rsidRPr="002D468A">
        <w:rPr>
          <w:color w:val="000000" w:themeColor="text1"/>
          <w:lang w:val="ro-RO" w:eastAsia="ro-MD"/>
        </w:rPr>
        <w:t xml:space="preserve"> </w:t>
      </w:r>
      <w:r w:rsidRPr="002D468A">
        <w:rPr>
          <w:color w:val="000000" w:themeColor="text1"/>
          <w:lang w:val="ro-RO" w:eastAsia="ro-MD"/>
        </w:rPr>
        <w:t>sau actul normativ al Băncii Naționale a Moldovei aferent tratamentului riscului de credit potrivit abordării bazate pe modele interne de rating pentru expuneri directe față de un OPC, acestea pot utiliza unități sau acțiuni pe care le dețin în respectivul OPC drept garanții reale până la o sumă egală cu valoarea instrumentelor deținute de respectivul OPC care sunt eligibile în temeiul punctelor 25 și 28, presupunând că OPC-ul respectiv sau oricare dintre OPC-urile sale suport au investit în instrumente neeligibile în măsura maximă permisă de mandatele lor.</w:t>
      </w:r>
    </w:p>
    <w:p w14:paraId="32248221" w14:textId="2EBD1224" w:rsidR="00B168FB" w:rsidRPr="002D468A" w:rsidRDefault="00B168FB" w:rsidP="00A86E98">
      <w:pPr>
        <w:jc w:val="both"/>
        <w:rPr>
          <w:color w:val="000000" w:themeColor="text1"/>
          <w:lang w:val="ro-RO" w:eastAsia="ro-MD"/>
        </w:rPr>
      </w:pPr>
      <w:r w:rsidRPr="002D468A">
        <w:rPr>
          <w:b/>
          <w:bCs/>
          <w:color w:val="000000" w:themeColor="text1"/>
          <w:lang w:val="ro-RO" w:eastAsia="ro-MD"/>
        </w:rPr>
        <w:t>28</w:t>
      </w:r>
      <w:r w:rsidRPr="002D468A">
        <w:rPr>
          <w:b/>
          <w:bCs/>
          <w:color w:val="000000" w:themeColor="text1"/>
          <w:vertAlign w:val="superscript"/>
          <w:lang w:val="ro-RO" w:eastAsia="ro-MD"/>
        </w:rPr>
        <w:t>5</w:t>
      </w:r>
      <w:r w:rsidRPr="002D468A">
        <w:rPr>
          <w:b/>
          <w:bCs/>
          <w:color w:val="000000" w:themeColor="text1"/>
          <w:lang w:val="ro-RO" w:eastAsia="ro-MD"/>
        </w:rPr>
        <w:t>.</w:t>
      </w:r>
      <w:r w:rsidRPr="002D468A">
        <w:rPr>
          <w:color w:val="000000" w:themeColor="text1"/>
          <w:lang w:val="ro-RO" w:eastAsia="ro-MD"/>
        </w:rPr>
        <w:t xml:space="preserve"> În cazul în care un OPC-suport are el însuși organisme de plasament colectiv-suport, băncile pot utiliza unități sau acțiuni pe care le dețin în OPC-ul inițial drept garanții reale eligibile cu condiția să aplice metodologia prevăzută la punctul 28</w:t>
      </w:r>
      <w:r w:rsidRPr="002D468A">
        <w:rPr>
          <w:color w:val="000000" w:themeColor="text1"/>
          <w:vertAlign w:val="superscript"/>
          <w:lang w:val="ro-RO" w:eastAsia="ro-MD"/>
        </w:rPr>
        <w:t>4</w:t>
      </w:r>
      <w:r w:rsidRPr="002D468A">
        <w:rPr>
          <w:color w:val="000000" w:themeColor="text1"/>
          <w:lang w:val="ro-RO" w:eastAsia="ro-MD"/>
        </w:rPr>
        <w:t>.</w:t>
      </w:r>
    </w:p>
    <w:p w14:paraId="3DA10A53" w14:textId="77777777" w:rsidR="00B168FB" w:rsidRPr="002D468A" w:rsidRDefault="00B168FB" w:rsidP="00A86E98">
      <w:pPr>
        <w:jc w:val="both"/>
        <w:rPr>
          <w:color w:val="000000" w:themeColor="text1"/>
          <w:lang w:val="ro-RO" w:eastAsia="ro-MD"/>
        </w:rPr>
      </w:pPr>
      <w:r w:rsidRPr="002D468A">
        <w:rPr>
          <w:b/>
          <w:bCs/>
          <w:color w:val="000000" w:themeColor="text1"/>
          <w:lang w:val="ro-RO" w:eastAsia="ro-MD"/>
        </w:rPr>
        <w:t>28</w:t>
      </w:r>
      <w:r w:rsidRPr="002D468A">
        <w:rPr>
          <w:b/>
          <w:bCs/>
          <w:color w:val="000000" w:themeColor="text1"/>
          <w:vertAlign w:val="superscript"/>
          <w:lang w:val="ro-RO" w:eastAsia="ro-MD"/>
        </w:rPr>
        <w:t>6</w:t>
      </w:r>
      <w:r w:rsidRPr="002D468A">
        <w:rPr>
          <w:b/>
          <w:bCs/>
          <w:color w:val="000000" w:themeColor="text1"/>
          <w:lang w:val="ro-RO" w:eastAsia="ro-MD"/>
        </w:rPr>
        <w:t>.</w:t>
      </w:r>
      <w:r w:rsidRPr="002D468A">
        <w:rPr>
          <w:color w:val="000000" w:themeColor="text1"/>
          <w:lang w:val="ro-RO" w:eastAsia="ro-MD"/>
        </w:rPr>
        <w:t xml:space="preserve"> În cazul în care activele neeligibile pot avea o valoare negativă din cauza datoriilor sau a datoriilor contingente rezultând din dreptul de proprietate, băncile trebuie să procedeze după cum urmează:</w:t>
      </w:r>
    </w:p>
    <w:p w14:paraId="6615DFED" w14:textId="77777777" w:rsidR="00B168FB" w:rsidRPr="002D468A" w:rsidRDefault="00B168FB" w:rsidP="00B168FB">
      <w:pPr>
        <w:ind w:firstLine="567"/>
        <w:jc w:val="both"/>
        <w:rPr>
          <w:color w:val="000000" w:themeColor="text1"/>
          <w:lang w:val="ro-RO" w:eastAsia="ro-MD"/>
        </w:rPr>
      </w:pPr>
      <w:r w:rsidRPr="002D468A">
        <w:rPr>
          <w:color w:val="000000" w:themeColor="text1"/>
          <w:lang w:val="ro-RO" w:eastAsia="ro-MD"/>
        </w:rPr>
        <w:t>1) să calculeze valoarea totală a activelor neeligibile;</w:t>
      </w:r>
    </w:p>
    <w:p w14:paraId="3ECB810E" w14:textId="5445D906" w:rsidR="00B168FB" w:rsidRPr="002D468A" w:rsidRDefault="00B168FB" w:rsidP="0011444E">
      <w:pPr>
        <w:tabs>
          <w:tab w:val="left" w:pos="567"/>
        </w:tabs>
        <w:ind w:firstLine="567"/>
        <w:jc w:val="both"/>
        <w:rPr>
          <w:color w:val="000000" w:themeColor="text1"/>
          <w:lang w:val="ro-MD"/>
        </w:rPr>
      </w:pPr>
      <w:r w:rsidRPr="002D468A">
        <w:rPr>
          <w:color w:val="000000" w:themeColor="text1"/>
          <w:lang w:val="ro-RO" w:eastAsia="ro-MD"/>
        </w:rPr>
        <w:t>2) dacă suma obținută conform subpunctului 1) este negativă, să scadă valoarea absolută a acestei sume din valoarea totală a activelor eligibile.”.</w:t>
      </w:r>
    </w:p>
    <w:p w14:paraId="0EA806DF" w14:textId="77777777" w:rsidR="00BD35F9" w:rsidRPr="002D468A" w:rsidRDefault="00BD35F9" w:rsidP="00DD1675">
      <w:pPr>
        <w:pStyle w:val="ListParagraph"/>
        <w:numPr>
          <w:ilvl w:val="1"/>
          <w:numId w:val="27"/>
        </w:numPr>
        <w:tabs>
          <w:tab w:val="left" w:pos="567"/>
        </w:tabs>
        <w:spacing w:before="80"/>
        <w:ind w:left="0" w:firstLine="567"/>
        <w:contextualSpacing w:val="0"/>
        <w:jc w:val="both"/>
        <w:rPr>
          <w:color w:val="000000" w:themeColor="text1"/>
          <w:lang w:val="ro-MD"/>
        </w:rPr>
      </w:pPr>
      <w:r w:rsidRPr="002D468A">
        <w:rPr>
          <w:color w:val="000000" w:themeColor="text1"/>
          <w:lang w:val="ro-MD"/>
        </w:rPr>
        <w:t>P</w:t>
      </w:r>
      <w:r w:rsidR="00F9105A" w:rsidRPr="002D468A">
        <w:rPr>
          <w:color w:val="000000" w:themeColor="text1"/>
          <w:lang w:val="ro-MD"/>
        </w:rPr>
        <w:t xml:space="preserve">unctul </w:t>
      </w:r>
      <w:r w:rsidRPr="002D468A">
        <w:rPr>
          <w:color w:val="000000" w:themeColor="text1"/>
          <w:lang w:val="ro-MD"/>
        </w:rPr>
        <w:t>33 va avea următorul cuprins:</w:t>
      </w:r>
    </w:p>
    <w:p w14:paraId="56D5CE03" w14:textId="657BAE53" w:rsidR="00BD35F9" w:rsidRPr="002D468A" w:rsidRDefault="00BD35F9" w:rsidP="00BD35F9">
      <w:pPr>
        <w:jc w:val="both"/>
        <w:rPr>
          <w:color w:val="000000" w:themeColor="text1"/>
          <w:lang w:val="ro-RO" w:eastAsia="ro-MD"/>
        </w:rPr>
      </w:pPr>
      <w:r w:rsidRPr="002D468A">
        <w:rPr>
          <w:color w:val="000000" w:themeColor="text1"/>
          <w:lang w:val="ro-MD"/>
        </w:rPr>
        <w:t>„</w:t>
      </w:r>
      <w:r w:rsidRPr="002D468A">
        <w:rPr>
          <w:b/>
          <w:bCs/>
          <w:color w:val="000000" w:themeColor="text1"/>
          <w:lang w:val="ro-MD"/>
        </w:rPr>
        <w:t>33.</w:t>
      </w:r>
      <w:r w:rsidRPr="002D468A">
        <w:rPr>
          <w:color w:val="000000" w:themeColor="text1"/>
          <w:lang w:val="ro-MD"/>
        </w:rPr>
        <w:t xml:space="preserve"> </w:t>
      </w:r>
      <w:r w:rsidRPr="002D468A">
        <w:rPr>
          <w:color w:val="000000" w:themeColor="text1"/>
          <w:lang w:val="ro-RO" w:eastAsia="ro-MD"/>
        </w:rPr>
        <w:t xml:space="preserve">În cazul în care OPC sau oricare OPC-suport nu este limitat la investiții în instrumente care sunt eligibile pentru recunoaștere în temeiul punctelor 25 și 28 și la investiții în elementele menționate la punctul 30 subpunctul 1), se aplică următoarele dispoziții: </w:t>
      </w:r>
    </w:p>
    <w:p w14:paraId="634D2493" w14:textId="46A78E30" w:rsidR="00BD35F9" w:rsidRPr="002D468A" w:rsidRDefault="00BD35F9" w:rsidP="00BD35F9">
      <w:pPr>
        <w:ind w:firstLine="567"/>
        <w:jc w:val="both"/>
        <w:rPr>
          <w:color w:val="000000" w:themeColor="text1"/>
          <w:lang w:val="ro-RO" w:eastAsia="ro-MD"/>
        </w:rPr>
      </w:pPr>
      <w:r w:rsidRPr="002D468A">
        <w:rPr>
          <w:color w:val="000000" w:themeColor="text1"/>
          <w:lang w:val="ro-RO" w:eastAsia="ro-MD"/>
        </w:rPr>
        <w:t>1) dacă băncile aplică abordarea transparentă de tip look-</w:t>
      </w:r>
      <w:proofErr w:type="spellStart"/>
      <w:r w:rsidRPr="002D468A">
        <w:rPr>
          <w:color w:val="000000" w:themeColor="text1"/>
          <w:lang w:val="ro-RO" w:eastAsia="ro-MD"/>
        </w:rPr>
        <w:t>through</w:t>
      </w:r>
      <w:proofErr w:type="spellEnd"/>
      <w:r w:rsidRPr="002D468A">
        <w:rPr>
          <w:color w:val="000000" w:themeColor="text1"/>
          <w:lang w:val="ro-RO" w:eastAsia="ro-MD"/>
        </w:rPr>
        <w:t xml:space="preserve"> menționată </w:t>
      </w:r>
      <w:r w:rsidR="00955DC5" w:rsidRPr="002D468A">
        <w:rPr>
          <w:color w:val="000000" w:themeColor="text1"/>
          <w:lang w:val="ro-RO" w:eastAsia="ro-MD"/>
        </w:rPr>
        <w:t xml:space="preserve">în </w:t>
      </w:r>
      <w:r w:rsidRPr="002D468A">
        <w:rPr>
          <w:color w:val="000000" w:themeColor="text1"/>
          <w:lang w:val="ro-RO" w:eastAsia="ro-MD"/>
        </w:rPr>
        <w:t xml:space="preserve">Regulamentul nr.111/2018 sau actul normativ al Băncii Naționale a Moldovei aferent tratamentului riscului de credit potrivit abordării bazate pe modele interne de rating pot utiliza unitățile sau acțiunile pe care le dețin în acest OPC drept garanții reale până la o sumă egală cu valoarea instrumentelor care sunt eligibile în temeiul punctelor 25 și 28 și a instrumentelor menționate la punctul 30 subpunctul 1); </w:t>
      </w:r>
    </w:p>
    <w:p w14:paraId="38A43AAA" w14:textId="0BED6318" w:rsidR="00A70022" w:rsidRPr="002D468A" w:rsidRDefault="00BD35F9" w:rsidP="000742E5">
      <w:pPr>
        <w:tabs>
          <w:tab w:val="left" w:pos="567"/>
        </w:tabs>
        <w:spacing w:before="80"/>
        <w:ind w:firstLine="567"/>
        <w:jc w:val="both"/>
        <w:rPr>
          <w:color w:val="000000" w:themeColor="text1"/>
          <w:lang w:val="ro-MD"/>
        </w:rPr>
      </w:pPr>
      <w:r w:rsidRPr="002D468A">
        <w:rPr>
          <w:color w:val="000000" w:themeColor="text1"/>
          <w:lang w:val="ro-RO" w:eastAsia="ro-MD"/>
        </w:rPr>
        <w:t xml:space="preserve">2) dacă băncile aplică abordarea pe bază de mandat menționată </w:t>
      </w:r>
      <w:r w:rsidR="00AD3235" w:rsidRPr="002D468A">
        <w:rPr>
          <w:color w:val="000000" w:themeColor="text1"/>
          <w:lang w:val="ro-RO" w:eastAsia="ro-MD"/>
        </w:rPr>
        <w:t xml:space="preserve">în </w:t>
      </w:r>
      <w:r w:rsidRPr="002D468A">
        <w:rPr>
          <w:color w:val="000000" w:themeColor="text1"/>
          <w:lang w:val="ro-RO" w:eastAsia="ro-MD"/>
        </w:rPr>
        <w:t>Regulamentul nr.111/2018 sau actul normativ al Băncii Naționale a Moldovei aferent tratamentului riscului de credit potrivit abordării bazate pe modele interne de rating pentru expuneri directe față de un OPC, acestea pot utiliza unități sau acțiuni pe care le dețin în respectivul OPC drept garanții reale până la o sumă egală cu valoarea instrumentelor deținute de respectivul OPC care sunt eligibile în temeiul punctelor 25 și 28 și a instrumentelor menționate la punctul 30 subpunctul 1)</w:t>
      </w:r>
      <w:r w:rsidR="00203E83" w:rsidRPr="002D468A">
        <w:rPr>
          <w:color w:val="000000" w:themeColor="text1"/>
          <w:lang w:val="ro-RO" w:eastAsia="ro-MD"/>
        </w:rPr>
        <w:t>,</w:t>
      </w:r>
      <w:r w:rsidRPr="002D468A">
        <w:rPr>
          <w:color w:val="000000" w:themeColor="text1"/>
          <w:lang w:val="ro-RO" w:eastAsia="ro-MD"/>
        </w:rPr>
        <w:t xml:space="preserve"> presupunând că acest OPC sau oricare din OPC-urile-suport ale acestuia au investit în active neeligibile în măsura maximă permisă de mandatele lor.</w:t>
      </w:r>
      <w:r w:rsidR="00F9105A" w:rsidRPr="002D468A">
        <w:rPr>
          <w:color w:val="000000" w:themeColor="text1"/>
          <w:lang w:val="ro-MD"/>
        </w:rPr>
        <w:t>”.</w:t>
      </w:r>
    </w:p>
    <w:p w14:paraId="45283157" w14:textId="5281ECB5" w:rsidR="00530933" w:rsidRPr="002D468A" w:rsidRDefault="000374C5" w:rsidP="000742E5">
      <w:pPr>
        <w:pStyle w:val="ListParagraph"/>
        <w:numPr>
          <w:ilvl w:val="1"/>
          <w:numId w:val="27"/>
        </w:numPr>
        <w:tabs>
          <w:tab w:val="left" w:pos="567"/>
        </w:tabs>
        <w:spacing w:before="80"/>
        <w:ind w:left="0" w:firstLine="567"/>
        <w:contextualSpacing w:val="0"/>
        <w:jc w:val="both"/>
        <w:rPr>
          <w:color w:val="000000" w:themeColor="text1"/>
          <w:lang w:val="ro-MD"/>
        </w:rPr>
      </w:pPr>
      <w:r w:rsidRPr="002D468A">
        <w:rPr>
          <w:color w:val="000000" w:themeColor="text1"/>
          <w:lang w:val="ro-MD"/>
        </w:rPr>
        <w:t>La punctul 34</w:t>
      </w:r>
      <w:r w:rsidR="00530933" w:rsidRPr="002D468A">
        <w:rPr>
          <w:color w:val="000000" w:themeColor="text1"/>
          <w:lang w:val="ro-MD"/>
        </w:rPr>
        <w:t>:</w:t>
      </w:r>
    </w:p>
    <w:p w14:paraId="44449D93" w14:textId="6EBD462A" w:rsidR="00530933" w:rsidRPr="002D468A" w:rsidRDefault="00530933" w:rsidP="000742E5">
      <w:pPr>
        <w:pStyle w:val="ListParagraph"/>
        <w:numPr>
          <w:ilvl w:val="2"/>
          <w:numId w:val="27"/>
        </w:numPr>
        <w:tabs>
          <w:tab w:val="left" w:pos="567"/>
        </w:tabs>
        <w:spacing w:before="80"/>
        <w:ind w:left="0" w:firstLine="567"/>
        <w:contextualSpacing w:val="0"/>
        <w:jc w:val="both"/>
        <w:rPr>
          <w:color w:val="000000" w:themeColor="text1"/>
          <w:lang w:val="ro-MD"/>
        </w:rPr>
      </w:pPr>
      <w:r w:rsidRPr="002D468A">
        <w:rPr>
          <w:color w:val="000000" w:themeColor="text1"/>
          <w:lang w:val="ro-MD"/>
        </w:rPr>
        <w:t>cuvântul „activele” se substituie cu cuvântul „instrumentele”;</w:t>
      </w:r>
    </w:p>
    <w:p w14:paraId="3FC6ABEB" w14:textId="49E66B9B" w:rsidR="00BD35F9" w:rsidRPr="002D468A" w:rsidRDefault="001558FC" w:rsidP="000742E5">
      <w:pPr>
        <w:pStyle w:val="ListParagraph"/>
        <w:numPr>
          <w:ilvl w:val="2"/>
          <w:numId w:val="27"/>
        </w:numPr>
        <w:tabs>
          <w:tab w:val="left" w:pos="567"/>
        </w:tabs>
        <w:spacing w:before="80"/>
        <w:ind w:left="0" w:firstLine="567"/>
        <w:contextualSpacing w:val="0"/>
        <w:jc w:val="both"/>
        <w:rPr>
          <w:color w:val="000000" w:themeColor="text1"/>
          <w:lang w:val="ro-MD"/>
        </w:rPr>
      </w:pPr>
      <w:r w:rsidRPr="002D468A">
        <w:rPr>
          <w:color w:val="000000" w:themeColor="text1"/>
          <w:lang w:val="ro-MD"/>
        </w:rPr>
        <w:t>l</w:t>
      </w:r>
      <w:r w:rsidR="00530933" w:rsidRPr="002D468A">
        <w:rPr>
          <w:color w:val="000000" w:themeColor="text1"/>
          <w:lang w:val="ro-MD"/>
        </w:rPr>
        <w:t>a subpunctele 1) și 2) cuvântul „activelor” se substituie cu cuvântul „instrumentelor”</w:t>
      </w:r>
      <w:r w:rsidR="000374C5" w:rsidRPr="002D468A">
        <w:rPr>
          <w:color w:val="000000" w:themeColor="text1"/>
          <w:lang w:val="ro-MD"/>
        </w:rPr>
        <w:t>.</w:t>
      </w:r>
    </w:p>
    <w:p w14:paraId="58EFC7A6" w14:textId="0CC43A10" w:rsidR="001221A2" w:rsidRPr="002D468A" w:rsidRDefault="001221A2" w:rsidP="000742E5">
      <w:pPr>
        <w:pStyle w:val="ListParagraph"/>
        <w:numPr>
          <w:ilvl w:val="1"/>
          <w:numId w:val="27"/>
        </w:numPr>
        <w:tabs>
          <w:tab w:val="left" w:pos="567"/>
        </w:tabs>
        <w:spacing w:before="80"/>
        <w:ind w:left="0" w:firstLine="567"/>
        <w:contextualSpacing w:val="0"/>
        <w:jc w:val="both"/>
        <w:rPr>
          <w:color w:val="000000" w:themeColor="text1"/>
          <w:lang w:val="ro-MD"/>
        </w:rPr>
      </w:pPr>
      <w:r w:rsidRPr="002D468A">
        <w:rPr>
          <w:color w:val="000000" w:themeColor="text1"/>
          <w:lang w:val="ro-MD"/>
        </w:rPr>
        <w:t>După secțiunea a 4-a din capitolul III, se completează cu secțiunea a 4</w:t>
      </w:r>
      <w:r w:rsidRPr="002D468A">
        <w:rPr>
          <w:color w:val="000000" w:themeColor="text1"/>
          <w:vertAlign w:val="superscript"/>
          <w:lang w:val="ro-MD"/>
        </w:rPr>
        <w:t>1</w:t>
      </w:r>
      <w:r w:rsidRPr="002D468A">
        <w:rPr>
          <w:color w:val="000000" w:themeColor="text1"/>
          <w:lang w:val="ro-MD"/>
        </w:rPr>
        <w:t>-a cu următorul cuprins:</w:t>
      </w:r>
    </w:p>
    <w:p w14:paraId="5BBD09B5" w14:textId="77777777" w:rsidR="0011444E" w:rsidRPr="002D468A" w:rsidRDefault="003C599E" w:rsidP="00930587">
      <w:pPr>
        <w:jc w:val="center"/>
        <w:rPr>
          <w:color w:val="000000" w:themeColor="text1"/>
          <w:lang w:val="ro-RO" w:eastAsia="ro-MD"/>
        </w:rPr>
      </w:pPr>
      <w:r w:rsidRPr="002D468A">
        <w:rPr>
          <w:color w:val="000000" w:themeColor="text1"/>
          <w:lang w:val="ro-MD"/>
        </w:rPr>
        <w:t>„</w:t>
      </w:r>
      <w:r w:rsidR="0011444E" w:rsidRPr="002D468A">
        <w:rPr>
          <w:b/>
          <w:bCs/>
          <w:i/>
          <w:iCs/>
          <w:color w:val="000000" w:themeColor="text1"/>
          <w:lang w:val="ro-RO" w:eastAsia="ro-MD"/>
        </w:rPr>
        <w:t>Secțiunea a 4</w:t>
      </w:r>
      <w:r w:rsidR="0011444E" w:rsidRPr="002D468A">
        <w:rPr>
          <w:b/>
          <w:bCs/>
          <w:i/>
          <w:iCs/>
          <w:color w:val="000000" w:themeColor="text1"/>
          <w:vertAlign w:val="superscript"/>
          <w:lang w:val="ro-RO" w:eastAsia="ro-MD"/>
        </w:rPr>
        <w:t>1</w:t>
      </w:r>
      <w:r w:rsidR="0011444E" w:rsidRPr="002D468A">
        <w:rPr>
          <w:b/>
          <w:bCs/>
          <w:i/>
          <w:iCs/>
          <w:color w:val="000000" w:themeColor="text1"/>
          <w:lang w:val="ro-RO" w:eastAsia="ro-MD"/>
        </w:rPr>
        <w:t>-a</w:t>
      </w:r>
    </w:p>
    <w:p w14:paraId="7E2A58E4" w14:textId="77777777" w:rsidR="0011444E" w:rsidRPr="002D468A" w:rsidRDefault="0011444E" w:rsidP="00930587">
      <w:pPr>
        <w:jc w:val="center"/>
        <w:rPr>
          <w:color w:val="000000" w:themeColor="text1"/>
          <w:lang w:val="ro-RO" w:eastAsia="ro-MD"/>
        </w:rPr>
      </w:pPr>
      <w:r w:rsidRPr="002D468A">
        <w:rPr>
          <w:b/>
          <w:bCs/>
          <w:i/>
          <w:iCs/>
          <w:color w:val="000000" w:themeColor="text1"/>
          <w:lang w:val="ro-RO" w:eastAsia="ro-MD"/>
        </w:rPr>
        <w:t>Extinderea eligibilității garanțiilor reale în cadrul</w:t>
      </w:r>
      <w:r w:rsidRPr="002D468A">
        <w:rPr>
          <w:color w:val="000000" w:themeColor="text1"/>
          <w:lang w:val="ro-MD"/>
        </w:rPr>
        <w:t xml:space="preserve"> </w:t>
      </w:r>
      <w:r w:rsidRPr="002D468A">
        <w:rPr>
          <w:b/>
          <w:bCs/>
          <w:i/>
          <w:iCs/>
          <w:color w:val="000000" w:themeColor="text1"/>
          <w:lang w:val="ro-RO" w:eastAsia="ro-MD"/>
        </w:rPr>
        <w:t>abordării IRB</w:t>
      </w:r>
    </w:p>
    <w:p w14:paraId="39A1117F" w14:textId="77777777" w:rsidR="0011444E" w:rsidRPr="002D468A" w:rsidRDefault="0011444E" w:rsidP="00930587">
      <w:pPr>
        <w:jc w:val="both"/>
        <w:rPr>
          <w:color w:val="000000" w:themeColor="text1"/>
          <w:lang w:val="ro-RO" w:eastAsia="ro-MD"/>
        </w:rPr>
      </w:pPr>
      <w:r w:rsidRPr="002D468A">
        <w:rPr>
          <w:b/>
          <w:bCs/>
          <w:color w:val="000000" w:themeColor="text1"/>
          <w:lang w:val="ro-RO" w:eastAsia="ro-MD"/>
        </w:rPr>
        <w:t>34</w:t>
      </w:r>
      <w:r w:rsidRPr="002D468A">
        <w:rPr>
          <w:b/>
          <w:bCs/>
          <w:color w:val="000000" w:themeColor="text1"/>
          <w:vertAlign w:val="superscript"/>
          <w:lang w:val="ro-RO" w:eastAsia="ro-MD"/>
        </w:rPr>
        <w:t>1</w:t>
      </w:r>
      <w:r w:rsidRPr="002D468A">
        <w:rPr>
          <w:b/>
          <w:bCs/>
          <w:color w:val="000000" w:themeColor="text1"/>
          <w:lang w:val="ro-RO" w:eastAsia="ro-MD"/>
        </w:rPr>
        <w:t>.</w:t>
      </w:r>
      <w:r w:rsidRPr="002D468A">
        <w:rPr>
          <w:color w:val="000000" w:themeColor="text1"/>
          <w:lang w:val="ro-RO" w:eastAsia="ro-MD"/>
        </w:rPr>
        <w:t xml:space="preserve"> În plus față de garanțiile reale menționate la punctele 25-34, băncile care calculează valorile ponderate la risc ale expunerilor și cuantumurile pierderilor așteptate conform abordării IRB pot utiliza, de asemenea, următoarele forme de garanții reale:</w:t>
      </w:r>
    </w:p>
    <w:p w14:paraId="732919EA" w14:textId="132E16FD" w:rsidR="0011444E" w:rsidRPr="002D468A" w:rsidRDefault="0011444E" w:rsidP="0011444E">
      <w:pPr>
        <w:ind w:firstLine="567"/>
        <w:jc w:val="both"/>
        <w:rPr>
          <w:color w:val="000000" w:themeColor="text1"/>
          <w:lang w:val="ro-RO" w:eastAsia="ro-MD"/>
        </w:rPr>
      </w:pPr>
      <w:r w:rsidRPr="002D468A">
        <w:rPr>
          <w:color w:val="000000" w:themeColor="text1"/>
          <w:lang w:val="ro-RO" w:eastAsia="ro-MD"/>
        </w:rPr>
        <w:t>1) garanții sub forma bunurilor imobile, în conformitate cu punctele 34</w:t>
      </w:r>
      <w:r w:rsidRPr="002D468A">
        <w:rPr>
          <w:color w:val="000000" w:themeColor="text1"/>
          <w:vertAlign w:val="superscript"/>
          <w:lang w:val="ro-RO" w:eastAsia="ro-MD"/>
        </w:rPr>
        <w:t>2</w:t>
      </w:r>
      <w:r w:rsidRPr="002D468A">
        <w:rPr>
          <w:color w:val="000000" w:themeColor="text1"/>
          <w:lang w:val="ro-RO" w:eastAsia="ro-MD"/>
        </w:rPr>
        <w:t>-34</w:t>
      </w:r>
      <w:r w:rsidR="00B21CB1" w:rsidRPr="002D468A">
        <w:rPr>
          <w:color w:val="000000" w:themeColor="text1"/>
          <w:vertAlign w:val="superscript"/>
          <w:lang w:val="ro-RO" w:eastAsia="ro-MD"/>
        </w:rPr>
        <w:t>7</w:t>
      </w:r>
      <w:r w:rsidRPr="002D468A">
        <w:rPr>
          <w:color w:val="000000" w:themeColor="text1"/>
          <w:lang w:val="ro-RO" w:eastAsia="ro-MD"/>
        </w:rPr>
        <w:t>;</w:t>
      </w:r>
    </w:p>
    <w:p w14:paraId="0AD40B9D" w14:textId="01002235" w:rsidR="0011444E" w:rsidRPr="002D468A" w:rsidRDefault="0011444E" w:rsidP="0011444E">
      <w:pPr>
        <w:ind w:firstLine="567"/>
        <w:jc w:val="both"/>
        <w:rPr>
          <w:color w:val="000000" w:themeColor="text1"/>
          <w:lang w:val="ro-RO" w:eastAsia="ro-MD"/>
        </w:rPr>
      </w:pPr>
      <w:r w:rsidRPr="002D468A">
        <w:rPr>
          <w:color w:val="000000" w:themeColor="text1"/>
          <w:lang w:val="ro-RO" w:eastAsia="ro-MD"/>
        </w:rPr>
        <w:t>2) creanțe, în conformitate cu punctele 34</w:t>
      </w:r>
      <w:r w:rsidR="00B21CB1" w:rsidRPr="002D468A">
        <w:rPr>
          <w:color w:val="000000" w:themeColor="text1"/>
          <w:vertAlign w:val="superscript"/>
          <w:lang w:val="ro-RO" w:eastAsia="ro-MD"/>
        </w:rPr>
        <w:t>9</w:t>
      </w:r>
      <w:r w:rsidRPr="002D468A">
        <w:rPr>
          <w:color w:val="000000" w:themeColor="text1"/>
          <w:lang w:val="ro-RO" w:eastAsia="ro-MD"/>
        </w:rPr>
        <w:t xml:space="preserve"> și 34</w:t>
      </w:r>
      <w:r w:rsidR="00B21CB1" w:rsidRPr="002D468A">
        <w:rPr>
          <w:color w:val="000000" w:themeColor="text1"/>
          <w:vertAlign w:val="superscript"/>
          <w:lang w:val="ro-RO" w:eastAsia="ro-MD"/>
        </w:rPr>
        <w:t>10</w:t>
      </w:r>
      <w:r w:rsidRPr="002D468A">
        <w:rPr>
          <w:color w:val="000000" w:themeColor="text1"/>
          <w:lang w:val="ro-RO" w:eastAsia="ro-MD"/>
        </w:rPr>
        <w:t>;</w:t>
      </w:r>
    </w:p>
    <w:p w14:paraId="03CE4534" w14:textId="424C1C92" w:rsidR="0011444E" w:rsidRPr="002D468A" w:rsidRDefault="0011444E" w:rsidP="0011444E">
      <w:pPr>
        <w:ind w:firstLine="567"/>
        <w:jc w:val="both"/>
        <w:rPr>
          <w:color w:val="000000" w:themeColor="text1"/>
          <w:lang w:val="ro-RO" w:eastAsia="ro-MD"/>
        </w:rPr>
      </w:pPr>
      <w:r w:rsidRPr="002D468A">
        <w:rPr>
          <w:color w:val="000000" w:themeColor="text1"/>
          <w:lang w:val="ro-RO" w:eastAsia="ro-MD"/>
        </w:rPr>
        <w:t>3) alte garanții reale corporale, în conformitate cu punct</w:t>
      </w:r>
      <w:r w:rsidR="00B21CB1" w:rsidRPr="002D468A">
        <w:rPr>
          <w:color w:val="000000" w:themeColor="text1"/>
          <w:lang w:val="ro-RO" w:eastAsia="ro-MD"/>
        </w:rPr>
        <w:t>ele</w:t>
      </w:r>
      <w:r w:rsidRPr="002D468A">
        <w:rPr>
          <w:color w:val="000000" w:themeColor="text1"/>
          <w:lang w:val="ro-RO" w:eastAsia="ro-MD"/>
        </w:rPr>
        <w:t xml:space="preserve"> 34</w:t>
      </w:r>
      <w:r w:rsidR="00B21CB1" w:rsidRPr="002D468A">
        <w:rPr>
          <w:color w:val="000000" w:themeColor="text1"/>
          <w:vertAlign w:val="superscript"/>
          <w:lang w:val="ro-RO" w:eastAsia="ro-MD"/>
        </w:rPr>
        <w:t>12</w:t>
      </w:r>
      <w:r w:rsidR="00B21CB1" w:rsidRPr="002D468A">
        <w:rPr>
          <w:color w:val="000000" w:themeColor="text1"/>
          <w:lang w:val="ro-RO" w:eastAsia="ro-MD"/>
        </w:rPr>
        <w:t>-34</w:t>
      </w:r>
      <w:r w:rsidR="00B21CB1" w:rsidRPr="002D468A">
        <w:rPr>
          <w:color w:val="000000" w:themeColor="text1"/>
          <w:vertAlign w:val="superscript"/>
          <w:lang w:val="ro-RO" w:eastAsia="ro-MD"/>
        </w:rPr>
        <w:t>13</w:t>
      </w:r>
      <w:r w:rsidRPr="002D468A">
        <w:rPr>
          <w:color w:val="000000" w:themeColor="text1"/>
          <w:lang w:val="ro-RO" w:eastAsia="ro-MD"/>
        </w:rPr>
        <w:t>;</w:t>
      </w:r>
    </w:p>
    <w:p w14:paraId="1B419417" w14:textId="7CF0F75C" w:rsidR="0011444E" w:rsidRPr="002D468A" w:rsidRDefault="0011444E" w:rsidP="0011444E">
      <w:pPr>
        <w:ind w:firstLine="567"/>
        <w:jc w:val="both"/>
        <w:rPr>
          <w:color w:val="000000" w:themeColor="text1"/>
          <w:lang w:val="ro-RO" w:eastAsia="ro-MD"/>
        </w:rPr>
      </w:pPr>
      <w:r w:rsidRPr="002D468A">
        <w:rPr>
          <w:color w:val="000000" w:themeColor="text1"/>
          <w:lang w:val="ro-RO" w:eastAsia="ro-MD"/>
        </w:rPr>
        <w:t>4) bunuri în leasing, în conformitate cu punctul 34</w:t>
      </w:r>
      <w:r w:rsidR="00AE7ECA" w:rsidRPr="002D468A">
        <w:rPr>
          <w:color w:val="000000" w:themeColor="text1"/>
          <w:vertAlign w:val="superscript"/>
          <w:lang w:val="ro-RO" w:eastAsia="ro-MD"/>
        </w:rPr>
        <w:t>14</w:t>
      </w:r>
      <w:r w:rsidRPr="002D468A">
        <w:rPr>
          <w:color w:val="000000" w:themeColor="text1"/>
          <w:lang w:val="ro-RO" w:eastAsia="ro-MD"/>
        </w:rPr>
        <w:t>.</w:t>
      </w:r>
    </w:p>
    <w:p w14:paraId="3DDAF2AC" w14:textId="333CB34C" w:rsidR="0011444E" w:rsidRPr="002D468A" w:rsidRDefault="0011444E" w:rsidP="00930587">
      <w:pPr>
        <w:jc w:val="both"/>
        <w:rPr>
          <w:color w:val="000000" w:themeColor="text1"/>
          <w:lang w:val="ro-RO" w:eastAsia="ro-MD"/>
        </w:rPr>
      </w:pPr>
      <w:r w:rsidRPr="002D468A">
        <w:rPr>
          <w:b/>
          <w:bCs/>
          <w:color w:val="000000" w:themeColor="text1"/>
          <w:lang w:val="ro-RO" w:eastAsia="ro-MD"/>
        </w:rPr>
        <w:lastRenderedPageBreak/>
        <w:t>34</w:t>
      </w:r>
      <w:r w:rsidRPr="002D468A">
        <w:rPr>
          <w:b/>
          <w:bCs/>
          <w:color w:val="000000" w:themeColor="text1"/>
          <w:vertAlign w:val="superscript"/>
          <w:lang w:val="ro-RO" w:eastAsia="ro-MD"/>
        </w:rPr>
        <w:t>2</w:t>
      </w:r>
      <w:r w:rsidRPr="002D468A">
        <w:rPr>
          <w:b/>
          <w:bCs/>
          <w:color w:val="000000" w:themeColor="text1"/>
          <w:lang w:val="ro-RO" w:eastAsia="ro-MD"/>
        </w:rPr>
        <w:t>.</w:t>
      </w:r>
      <w:r w:rsidRPr="002D468A">
        <w:rPr>
          <w:color w:val="000000" w:themeColor="text1"/>
          <w:lang w:val="ro-RO" w:eastAsia="ro-MD"/>
        </w:rPr>
        <w:t xml:space="preserve"> Cu excepția cazului în care conform Regulamentului nr.111/2018 se specifică altfel, băncile pot utiliza drept garanții reale eligibile bunurile imobile locative care sunt sau vor fi ocupate sau date cu chirie de către proprietar sau, în cazul societăților pentru investiții personale, de către beneficiarul real, precum și bunurile imobile comerciale, inclusiv birouri și alte spații comerciale, dacă sunt îndeplinite cumulativ următoarele condiții:</w:t>
      </w:r>
    </w:p>
    <w:p w14:paraId="139C92CB" w14:textId="77777777" w:rsidR="0011444E" w:rsidRPr="002D468A" w:rsidRDefault="0011444E" w:rsidP="0011444E">
      <w:pPr>
        <w:ind w:firstLine="567"/>
        <w:jc w:val="both"/>
        <w:rPr>
          <w:color w:val="000000" w:themeColor="text1"/>
          <w:lang w:val="ro-RO" w:eastAsia="ro-MD"/>
        </w:rPr>
      </w:pPr>
      <w:r w:rsidRPr="002D468A">
        <w:rPr>
          <w:color w:val="000000" w:themeColor="text1"/>
          <w:lang w:val="ro-RO" w:eastAsia="ro-MD"/>
        </w:rPr>
        <w:t>1) valoarea bunului imobil nu depinde în mod semnificativ de calitatea creditului debitorului;</w:t>
      </w:r>
    </w:p>
    <w:p w14:paraId="78B83535" w14:textId="7681FF46" w:rsidR="0011444E" w:rsidRPr="002D468A" w:rsidRDefault="0011444E" w:rsidP="0011444E">
      <w:pPr>
        <w:ind w:firstLine="567"/>
        <w:jc w:val="both"/>
        <w:rPr>
          <w:color w:val="000000" w:themeColor="text1"/>
          <w:lang w:val="ro-RO" w:eastAsia="ro-MD"/>
        </w:rPr>
      </w:pPr>
      <w:r w:rsidRPr="002D468A">
        <w:rPr>
          <w:color w:val="000000" w:themeColor="text1"/>
          <w:lang w:val="ro-RO" w:eastAsia="ro-MD"/>
        </w:rPr>
        <w:t>2) riscul asociat debitorului nu depinde în mod semnificativ de randamentul bunului imobil sau al proiectului-suport, ci de capacitatea reală a debitorului de a rambursa datoria din alte surse; în consecință, rambursarea facilității nu depinde în mod semnificativ de fluxurile de numerar generate de bunul imobil care servește drept garanție reală.</w:t>
      </w:r>
    </w:p>
    <w:p w14:paraId="4DDE2CB0" w14:textId="3E570F21" w:rsidR="0011444E" w:rsidRPr="002D468A" w:rsidRDefault="0011444E" w:rsidP="00930587">
      <w:pPr>
        <w:jc w:val="both"/>
        <w:rPr>
          <w:color w:val="000000" w:themeColor="text1"/>
          <w:lang w:val="ro-RO" w:eastAsia="ro-MD"/>
        </w:rPr>
      </w:pPr>
      <w:r w:rsidRPr="002D468A">
        <w:rPr>
          <w:b/>
          <w:bCs/>
          <w:color w:val="000000" w:themeColor="text1"/>
          <w:lang w:val="ro-RO" w:eastAsia="ro-MD"/>
        </w:rPr>
        <w:t>34</w:t>
      </w:r>
      <w:r w:rsidRPr="002D468A">
        <w:rPr>
          <w:b/>
          <w:bCs/>
          <w:color w:val="000000" w:themeColor="text1"/>
          <w:vertAlign w:val="superscript"/>
          <w:lang w:val="ro-RO" w:eastAsia="ro-MD"/>
        </w:rPr>
        <w:t>3</w:t>
      </w:r>
      <w:r w:rsidRPr="002D468A">
        <w:rPr>
          <w:b/>
          <w:bCs/>
          <w:color w:val="000000" w:themeColor="text1"/>
          <w:lang w:val="ro-RO" w:eastAsia="ro-MD"/>
        </w:rPr>
        <w:t>.</w:t>
      </w:r>
      <w:r w:rsidRPr="002D468A">
        <w:rPr>
          <w:color w:val="000000" w:themeColor="text1"/>
          <w:lang w:val="ro-RO" w:eastAsia="ro-MD"/>
        </w:rPr>
        <w:t xml:space="preserve"> În sensul</w:t>
      </w:r>
      <w:r w:rsidR="0086632A" w:rsidRPr="002D468A">
        <w:rPr>
          <w:color w:val="000000" w:themeColor="text1"/>
          <w:lang w:val="ro-RO" w:eastAsia="ro-MD"/>
        </w:rPr>
        <w:t xml:space="preserve"> punctului 34</w:t>
      </w:r>
      <w:r w:rsidR="0086632A" w:rsidRPr="002D468A">
        <w:rPr>
          <w:color w:val="000000" w:themeColor="text1"/>
          <w:vertAlign w:val="superscript"/>
          <w:lang w:val="ro-RO" w:eastAsia="ro-MD"/>
        </w:rPr>
        <w:t>2</w:t>
      </w:r>
      <w:r w:rsidRPr="002D468A">
        <w:rPr>
          <w:color w:val="000000" w:themeColor="text1"/>
          <w:lang w:val="ro-RO" w:eastAsia="ro-MD"/>
        </w:rPr>
        <w:t xml:space="preserve"> subpunctul 1), băncile pot exclude situațiile în care factori pur macroeconomici afectează atât valoarea bunului imobil, cât și performanța debitorului.</w:t>
      </w:r>
    </w:p>
    <w:p w14:paraId="5F652E48" w14:textId="6499898F" w:rsidR="0011444E" w:rsidRPr="002D468A" w:rsidRDefault="0011444E" w:rsidP="00930587">
      <w:pPr>
        <w:jc w:val="both"/>
        <w:rPr>
          <w:color w:val="000000" w:themeColor="text1"/>
          <w:lang w:val="ro-RO" w:eastAsia="ro-MD"/>
        </w:rPr>
      </w:pPr>
      <w:r w:rsidRPr="002D468A">
        <w:rPr>
          <w:b/>
          <w:bCs/>
          <w:color w:val="000000" w:themeColor="text1"/>
          <w:lang w:val="ro-RO" w:eastAsia="ro-MD"/>
        </w:rPr>
        <w:t>34</w:t>
      </w:r>
      <w:r w:rsidRPr="002D468A">
        <w:rPr>
          <w:b/>
          <w:bCs/>
          <w:color w:val="000000" w:themeColor="text1"/>
          <w:vertAlign w:val="superscript"/>
          <w:lang w:val="ro-RO" w:eastAsia="ro-MD"/>
        </w:rPr>
        <w:t>4</w:t>
      </w:r>
      <w:r w:rsidRPr="002D468A">
        <w:rPr>
          <w:b/>
          <w:bCs/>
          <w:color w:val="000000" w:themeColor="text1"/>
          <w:lang w:val="ro-RO" w:eastAsia="ro-MD"/>
        </w:rPr>
        <w:t>.</w:t>
      </w:r>
      <w:r w:rsidRPr="002D468A">
        <w:rPr>
          <w:color w:val="000000" w:themeColor="text1"/>
          <w:lang w:val="ro-RO" w:eastAsia="ro-MD"/>
        </w:rPr>
        <w:t xml:space="preserve"> Băncile pot deroga de la punctul 34</w:t>
      </w:r>
      <w:r w:rsidRPr="002D468A">
        <w:rPr>
          <w:color w:val="000000" w:themeColor="text1"/>
          <w:vertAlign w:val="superscript"/>
          <w:lang w:val="ro-RO" w:eastAsia="ro-MD"/>
        </w:rPr>
        <w:t>2</w:t>
      </w:r>
      <w:r w:rsidRPr="002D468A">
        <w:rPr>
          <w:color w:val="000000" w:themeColor="text1"/>
          <w:lang w:val="ro-RO" w:eastAsia="ro-MD"/>
        </w:rPr>
        <w:t xml:space="preserve"> subpunctul 2) în cazul expunerilor garantate cu bunuri imobile locative situate pe teritoriul </w:t>
      </w:r>
      <w:r w:rsidR="00274E79" w:rsidRPr="002D468A">
        <w:rPr>
          <w:color w:val="000000" w:themeColor="text1"/>
          <w:lang w:val="ro-RO" w:eastAsia="ro-MD"/>
        </w:rPr>
        <w:t>Republicii Moldova</w:t>
      </w:r>
      <w:r w:rsidRPr="002D468A">
        <w:rPr>
          <w:color w:val="000000" w:themeColor="text1"/>
          <w:lang w:val="ro-RO" w:eastAsia="ro-MD"/>
        </w:rPr>
        <w:t xml:space="preserve">, dacă </w:t>
      </w:r>
      <w:r w:rsidR="00967381" w:rsidRPr="002D468A">
        <w:rPr>
          <w:color w:val="000000" w:themeColor="text1"/>
          <w:lang w:val="ro-RO" w:eastAsia="ro-MD"/>
        </w:rPr>
        <w:t>Banca Națională a Moldovei</w:t>
      </w:r>
      <w:r w:rsidR="00B12F85" w:rsidRPr="002D468A">
        <w:rPr>
          <w:color w:val="000000" w:themeColor="text1"/>
          <w:lang w:val="ro-RO" w:eastAsia="ro-MD"/>
        </w:rPr>
        <w:t>,</w:t>
      </w:r>
      <w:r w:rsidR="00967381" w:rsidRPr="002D468A">
        <w:rPr>
          <w:color w:val="000000" w:themeColor="text1"/>
          <w:lang w:val="ro-RO" w:eastAsia="ro-MD"/>
        </w:rPr>
        <w:t xml:space="preserve"> </w:t>
      </w:r>
      <w:bookmarkStart w:id="4" w:name="_Hlk230794789"/>
      <w:r w:rsidR="00B12F85" w:rsidRPr="002D468A">
        <w:rPr>
          <w:color w:val="000000" w:themeColor="text1"/>
          <w:lang w:val="ro-RO" w:eastAsia="ro-MD"/>
        </w:rPr>
        <w:t>în scopul punctelor 68</w:t>
      </w:r>
      <w:r w:rsidR="00B12F85" w:rsidRPr="002D468A">
        <w:rPr>
          <w:color w:val="000000" w:themeColor="text1"/>
          <w:vertAlign w:val="superscript"/>
          <w:lang w:val="ro-RO" w:eastAsia="ro-MD"/>
        </w:rPr>
        <w:t>4</w:t>
      </w:r>
      <w:r w:rsidR="00B12F85" w:rsidRPr="002D468A">
        <w:rPr>
          <w:color w:val="000000" w:themeColor="text1"/>
          <w:lang w:val="ro-RO" w:eastAsia="ro-MD"/>
        </w:rPr>
        <w:t>-68</w:t>
      </w:r>
      <w:r w:rsidR="00B12F85" w:rsidRPr="002D468A">
        <w:rPr>
          <w:color w:val="000000" w:themeColor="text1"/>
          <w:vertAlign w:val="superscript"/>
          <w:lang w:val="ro-RO" w:eastAsia="ro-MD"/>
        </w:rPr>
        <w:t>8</w:t>
      </w:r>
      <w:r w:rsidR="00B12F85" w:rsidRPr="002D468A">
        <w:rPr>
          <w:color w:val="000000" w:themeColor="text1"/>
          <w:lang w:val="ro-RO" w:eastAsia="ro-MD"/>
        </w:rPr>
        <w:t xml:space="preserve"> din Regulamentul nr.111/2018,</w:t>
      </w:r>
      <w:bookmarkEnd w:id="4"/>
      <w:r w:rsidRPr="002D468A">
        <w:rPr>
          <w:color w:val="000000" w:themeColor="text1"/>
          <w:lang w:val="ro-RO" w:eastAsia="ro-MD"/>
        </w:rPr>
        <w:t>a publicat dovezi indicând prezența unei piețe pentru bunuri imobile locative bine dezvoltată și cu existență îndelungată pe teritoriul respectiv, cu rate ale pierderii care nu depășesc niciuna din următoarele limite:</w:t>
      </w:r>
    </w:p>
    <w:p w14:paraId="47AD71E6" w14:textId="44EE59A1" w:rsidR="0011444E" w:rsidRPr="002D468A" w:rsidRDefault="0011444E" w:rsidP="0011444E">
      <w:pPr>
        <w:ind w:firstLine="567"/>
        <w:jc w:val="both"/>
        <w:rPr>
          <w:color w:val="000000" w:themeColor="text1"/>
          <w:lang w:val="ro-RO" w:eastAsia="ro-MD"/>
        </w:rPr>
      </w:pPr>
      <w:r w:rsidRPr="002D468A">
        <w:rPr>
          <w:color w:val="000000" w:themeColor="text1"/>
          <w:lang w:val="ro-RO" w:eastAsia="ro-MD"/>
        </w:rPr>
        <w:t xml:space="preserve">1) raportul dintre valorile agregate raportate de bănci în temeiul subpunctelor 1) și 3) </w:t>
      </w:r>
      <w:r w:rsidR="006319A3" w:rsidRPr="002D468A">
        <w:rPr>
          <w:color w:val="000000" w:themeColor="text1"/>
          <w:lang w:val="ro-RO" w:eastAsia="ro-MD"/>
        </w:rPr>
        <w:t xml:space="preserve">de la </w:t>
      </w:r>
      <w:r w:rsidRPr="002D468A">
        <w:rPr>
          <w:color w:val="000000" w:themeColor="text1"/>
          <w:lang w:val="ro-RO" w:eastAsia="ro-MD"/>
        </w:rPr>
        <w:t>punctul 1) din anexa nr.2</w:t>
      </w:r>
      <w:r w:rsidRPr="002D468A">
        <w:rPr>
          <w:color w:val="000000" w:themeColor="text1"/>
          <w:vertAlign w:val="superscript"/>
          <w:lang w:val="ro-RO" w:eastAsia="ro-MD"/>
        </w:rPr>
        <w:t>1</w:t>
      </w:r>
      <w:r w:rsidRPr="002D468A">
        <w:rPr>
          <w:color w:val="000000" w:themeColor="text1"/>
          <w:lang w:val="ro-RO" w:eastAsia="ro-MD"/>
        </w:rPr>
        <w:t xml:space="preserve"> la Regulamentul nr.111/2018 nu depășește 0,3%;</w:t>
      </w:r>
    </w:p>
    <w:p w14:paraId="63F7540D" w14:textId="1F555F75" w:rsidR="0011444E" w:rsidRPr="002D468A" w:rsidRDefault="0011444E" w:rsidP="0011444E">
      <w:pPr>
        <w:ind w:firstLine="567"/>
        <w:jc w:val="both"/>
        <w:rPr>
          <w:color w:val="000000" w:themeColor="text1"/>
          <w:lang w:val="ro-RO" w:eastAsia="ro-MD"/>
        </w:rPr>
      </w:pPr>
      <w:r w:rsidRPr="002D468A">
        <w:rPr>
          <w:color w:val="000000" w:themeColor="text1"/>
          <w:lang w:val="ro-RO" w:eastAsia="ro-MD"/>
        </w:rPr>
        <w:t>2) raportul dintre valorile agregate raportate de bănci în temeiul subpunctului 2) și 3), punctul 1) din anexa nr.2</w:t>
      </w:r>
      <w:r w:rsidRPr="002D468A">
        <w:rPr>
          <w:color w:val="000000" w:themeColor="text1"/>
          <w:vertAlign w:val="superscript"/>
          <w:lang w:val="ro-RO" w:eastAsia="ro-MD"/>
        </w:rPr>
        <w:t>1</w:t>
      </w:r>
      <w:r w:rsidRPr="002D468A">
        <w:rPr>
          <w:color w:val="000000" w:themeColor="text1"/>
          <w:lang w:val="ro-RO" w:eastAsia="ro-MD"/>
        </w:rPr>
        <w:t xml:space="preserve"> la Regulamentul nr.111/2018 nu depășește 0,5%.</w:t>
      </w:r>
    </w:p>
    <w:p w14:paraId="22606C36" w14:textId="38A64883" w:rsidR="0011444E" w:rsidRPr="002D468A" w:rsidRDefault="0011444E" w:rsidP="00930587">
      <w:pPr>
        <w:jc w:val="both"/>
        <w:rPr>
          <w:color w:val="000000" w:themeColor="text1"/>
          <w:lang w:val="ro-RO" w:eastAsia="ro-MD"/>
        </w:rPr>
      </w:pPr>
      <w:r w:rsidRPr="002D468A">
        <w:rPr>
          <w:b/>
          <w:bCs/>
          <w:color w:val="000000" w:themeColor="text1"/>
          <w:lang w:val="ro-RO" w:eastAsia="ro-MD"/>
        </w:rPr>
        <w:t>34</w:t>
      </w:r>
      <w:r w:rsidRPr="002D468A">
        <w:rPr>
          <w:b/>
          <w:bCs/>
          <w:color w:val="000000" w:themeColor="text1"/>
          <w:vertAlign w:val="superscript"/>
          <w:lang w:val="ro-RO" w:eastAsia="ro-MD"/>
        </w:rPr>
        <w:t>5</w:t>
      </w:r>
      <w:r w:rsidRPr="002D468A">
        <w:rPr>
          <w:b/>
          <w:bCs/>
          <w:color w:val="000000" w:themeColor="text1"/>
          <w:lang w:val="ro-RO" w:eastAsia="ro-MD"/>
        </w:rPr>
        <w:t>.</w:t>
      </w:r>
      <w:r w:rsidRPr="002D468A">
        <w:rPr>
          <w:color w:val="000000" w:themeColor="text1"/>
          <w:lang w:val="ro-RO" w:eastAsia="ro-MD"/>
        </w:rPr>
        <w:t xml:space="preserve"> În cazul în care oricare din condițiile prevăzute la subpunctele 1) și 2) nu este îndeplinită într-un anumit an, băncile nu aplică tratamentul specificat la punctul respectiv până când nu sunt satisfăcute, într-un an ulterior, ambele condiții.</w:t>
      </w:r>
    </w:p>
    <w:p w14:paraId="68242643" w14:textId="6E4C9CD6" w:rsidR="0011444E" w:rsidRPr="002D468A" w:rsidRDefault="0011444E" w:rsidP="00930587">
      <w:pPr>
        <w:jc w:val="both"/>
        <w:rPr>
          <w:color w:val="000000" w:themeColor="text1"/>
          <w:lang w:val="ro-RO" w:eastAsia="ro-MD"/>
        </w:rPr>
      </w:pPr>
      <w:r w:rsidRPr="002D468A">
        <w:rPr>
          <w:b/>
          <w:bCs/>
          <w:color w:val="000000" w:themeColor="text1"/>
          <w:lang w:val="ro-RO" w:eastAsia="ro-MD"/>
        </w:rPr>
        <w:t>34</w:t>
      </w:r>
      <w:r w:rsidRPr="002D468A">
        <w:rPr>
          <w:b/>
          <w:bCs/>
          <w:color w:val="000000" w:themeColor="text1"/>
          <w:vertAlign w:val="superscript"/>
          <w:lang w:val="ro-RO" w:eastAsia="ro-MD"/>
        </w:rPr>
        <w:t>6</w:t>
      </w:r>
      <w:r w:rsidRPr="002D468A">
        <w:rPr>
          <w:b/>
          <w:bCs/>
          <w:color w:val="000000" w:themeColor="text1"/>
          <w:lang w:val="ro-RO" w:eastAsia="ro-MD"/>
        </w:rPr>
        <w:t>.</w:t>
      </w:r>
      <w:r w:rsidRPr="002D468A">
        <w:rPr>
          <w:color w:val="000000" w:themeColor="text1"/>
          <w:lang w:val="ro-RO" w:eastAsia="ro-MD"/>
        </w:rPr>
        <w:t xml:space="preserve"> Băncile pot deroga de la punctul 34</w:t>
      </w:r>
      <w:r w:rsidRPr="002D468A">
        <w:rPr>
          <w:color w:val="000000" w:themeColor="text1"/>
          <w:vertAlign w:val="superscript"/>
          <w:lang w:val="ro-RO" w:eastAsia="ro-MD"/>
        </w:rPr>
        <w:t>2</w:t>
      </w:r>
      <w:r w:rsidRPr="002D468A">
        <w:rPr>
          <w:color w:val="000000" w:themeColor="text1"/>
          <w:lang w:val="ro-RO" w:eastAsia="ro-MD"/>
        </w:rPr>
        <w:t xml:space="preserve"> subpunctul 2) în cazul expunerilor garantate cu bunuri imobile comerciale situate pe teritoriul </w:t>
      </w:r>
      <w:r w:rsidR="00274E79" w:rsidRPr="002D468A">
        <w:rPr>
          <w:color w:val="000000" w:themeColor="text1"/>
          <w:lang w:val="ro-RO" w:eastAsia="ro-MD"/>
        </w:rPr>
        <w:t>Republicii Moldova</w:t>
      </w:r>
      <w:r w:rsidRPr="002D468A">
        <w:rPr>
          <w:color w:val="000000" w:themeColor="text1"/>
          <w:lang w:val="ro-RO" w:eastAsia="ro-MD"/>
        </w:rPr>
        <w:t xml:space="preserve">, dacă </w:t>
      </w:r>
      <w:r w:rsidR="00E63124" w:rsidRPr="002D468A">
        <w:rPr>
          <w:color w:val="000000" w:themeColor="text1"/>
          <w:lang w:val="ro-RO" w:eastAsia="ro-MD"/>
        </w:rPr>
        <w:t>Banca Națională a Moldovei</w:t>
      </w:r>
      <w:r w:rsidR="00B12F85" w:rsidRPr="002D468A">
        <w:rPr>
          <w:color w:val="000000" w:themeColor="text1"/>
          <w:lang w:val="ro-RO" w:eastAsia="ro-MD"/>
        </w:rPr>
        <w:t>,</w:t>
      </w:r>
      <w:r w:rsidR="00E63124" w:rsidRPr="002D468A">
        <w:rPr>
          <w:color w:val="000000" w:themeColor="text1"/>
          <w:lang w:val="ro-RO" w:eastAsia="ro-MD"/>
        </w:rPr>
        <w:t xml:space="preserve"> </w:t>
      </w:r>
      <w:r w:rsidR="00B12F85" w:rsidRPr="002D468A">
        <w:rPr>
          <w:color w:val="000000" w:themeColor="text1"/>
          <w:lang w:val="ro-RO" w:eastAsia="ro-MD"/>
        </w:rPr>
        <w:t>în scopul punctelor 68</w:t>
      </w:r>
      <w:r w:rsidR="00B12F85" w:rsidRPr="002D468A">
        <w:rPr>
          <w:color w:val="000000" w:themeColor="text1"/>
          <w:vertAlign w:val="superscript"/>
          <w:lang w:val="ro-RO" w:eastAsia="ro-MD"/>
        </w:rPr>
        <w:t>4</w:t>
      </w:r>
      <w:r w:rsidR="00B12F85" w:rsidRPr="002D468A">
        <w:rPr>
          <w:color w:val="000000" w:themeColor="text1"/>
          <w:lang w:val="ro-RO" w:eastAsia="ro-MD"/>
        </w:rPr>
        <w:t>-68</w:t>
      </w:r>
      <w:r w:rsidR="00B12F85" w:rsidRPr="002D468A">
        <w:rPr>
          <w:color w:val="000000" w:themeColor="text1"/>
          <w:vertAlign w:val="superscript"/>
          <w:lang w:val="ro-RO" w:eastAsia="ro-MD"/>
        </w:rPr>
        <w:t>8</w:t>
      </w:r>
      <w:r w:rsidR="00B12F85" w:rsidRPr="002D468A">
        <w:rPr>
          <w:color w:val="000000" w:themeColor="text1"/>
          <w:lang w:val="ro-RO" w:eastAsia="ro-MD"/>
        </w:rPr>
        <w:t xml:space="preserve"> din Regulamentul nr.111/2018, </w:t>
      </w:r>
      <w:r w:rsidRPr="002D468A">
        <w:rPr>
          <w:color w:val="000000" w:themeColor="text1"/>
          <w:lang w:val="ro-RO" w:eastAsia="ro-MD"/>
        </w:rPr>
        <w:t>a publicat dovezi indicând prezența unei piețe pentru bunuri imobile comerciale bine dezvoltate și cu existență îndelungată pe teritoriul respectiv, cu rate ale pierderii care nu depășesc niciuna dintre următoarele limite:</w:t>
      </w:r>
    </w:p>
    <w:p w14:paraId="4DDCBF97" w14:textId="7E7F9C4E" w:rsidR="0011444E" w:rsidRPr="002D468A" w:rsidRDefault="0011444E" w:rsidP="0011444E">
      <w:pPr>
        <w:ind w:firstLine="567"/>
        <w:jc w:val="both"/>
        <w:rPr>
          <w:color w:val="000000" w:themeColor="text1"/>
          <w:lang w:val="ro-RO" w:eastAsia="ro-MD"/>
        </w:rPr>
      </w:pPr>
      <w:r w:rsidRPr="002D468A">
        <w:rPr>
          <w:color w:val="000000" w:themeColor="text1"/>
          <w:lang w:val="ro-RO" w:eastAsia="ro-MD"/>
        </w:rPr>
        <w:t>1) raportul dintre valorile agregate raportate de bănci în temeiul subpunctului 4) și subpunctului 6), punctul 1) din anexa nr.2</w:t>
      </w:r>
      <w:r w:rsidRPr="002D468A">
        <w:rPr>
          <w:color w:val="000000" w:themeColor="text1"/>
          <w:vertAlign w:val="superscript"/>
          <w:lang w:val="ro-RO" w:eastAsia="ro-MD"/>
        </w:rPr>
        <w:t>1</w:t>
      </w:r>
      <w:r w:rsidRPr="002D468A">
        <w:rPr>
          <w:color w:val="000000" w:themeColor="text1"/>
          <w:lang w:val="ro-RO" w:eastAsia="ro-MD"/>
        </w:rPr>
        <w:t xml:space="preserve"> la Regulamentul nr.111/2018 nu depășește 0,3%;</w:t>
      </w:r>
    </w:p>
    <w:p w14:paraId="28AEE93C" w14:textId="3BBD3692" w:rsidR="0011444E" w:rsidRPr="002D468A" w:rsidRDefault="0011444E" w:rsidP="0011444E">
      <w:pPr>
        <w:ind w:firstLine="567"/>
        <w:jc w:val="both"/>
        <w:rPr>
          <w:color w:val="000000" w:themeColor="text1"/>
          <w:lang w:val="ro-RO" w:eastAsia="ro-MD"/>
        </w:rPr>
      </w:pPr>
      <w:r w:rsidRPr="002D468A">
        <w:rPr>
          <w:color w:val="000000" w:themeColor="text1"/>
          <w:lang w:val="ro-RO" w:eastAsia="ro-MD"/>
        </w:rPr>
        <w:t>2) raportul dintre valorile agregate raportate de bănci în temeiul subpunctului 5) și subpunctului 6), punctul 1) din anexa nr.2</w:t>
      </w:r>
      <w:r w:rsidRPr="002D468A">
        <w:rPr>
          <w:color w:val="000000" w:themeColor="text1"/>
          <w:vertAlign w:val="superscript"/>
          <w:lang w:val="ro-RO" w:eastAsia="ro-MD"/>
        </w:rPr>
        <w:t>1</w:t>
      </w:r>
      <w:r w:rsidRPr="002D468A">
        <w:rPr>
          <w:color w:val="000000" w:themeColor="text1"/>
          <w:lang w:val="ro-RO" w:eastAsia="ro-MD"/>
        </w:rPr>
        <w:t xml:space="preserve"> la Regulamentul nr.111/2018 nu depășește 0,5%.</w:t>
      </w:r>
    </w:p>
    <w:p w14:paraId="5936736B" w14:textId="0EA493BD" w:rsidR="0011444E" w:rsidRPr="002D468A" w:rsidRDefault="0011444E" w:rsidP="00930587">
      <w:pPr>
        <w:jc w:val="both"/>
        <w:rPr>
          <w:color w:val="000000" w:themeColor="text1"/>
          <w:lang w:val="ro-RO" w:eastAsia="ro-MD"/>
        </w:rPr>
      </w:pPr>
      <w:r w:rsidRPr="002D468A">
        <w:rPr>
          <w:b/>
          <w:bCs/>
          <w:color w:val="000000" w:themeColor="text1"/>
          <w:lang w:val="ro-RO" w:eastAsia="ro-MD"/>
        </w:rPr>
        <w:t>34</w:t>
      </w:r>
      <w:r w:rsidRPr="002D468A">
        <w:rPr>
          <w:b/>
          <w:bCs/>
          <w:color w:val="000000" w:themeColor="text1"/>
          <w:vertAlign w:val="superscript"/>
          <w:lang w:val="ro-RO" w:eastAsia="ro-MD"/>
        </w:rPr>
        <w:t>7</w:t>
      </w:r>
      <w:r w:rsidRPr="002D468A">
        <w:rPr>
          <w:b/>
          <w:bCs/>
          <w:color w:val="000000" w:themeColor="text1"/>
          <w:lang w:val="ro-RO" w:eastAsia="ro-MD"/>
        </w:rPr>
        <w:t>.</w:t>
      </w:r>
      <w:r w:rsidRPr="002D468A">
        <w:rPr>
          <w:color w:val="000000" w:themeColor="text1"/>
          <w:lang w:val="ro-RO" w:eastAsia="ro-MD"/>
        </w:rPr>
        <w:t xml:space="preserve"> În cazul în care una din condițiile prevăzute la subpunct</w:t>
      </w:r>
      <w:r w:rsidR="00E63124" w:rsidRPr="002D468A">
        <w:rPr>
          <w:color w:val="000000" w:themeColor="text1"/>
          <w:lang w:val="ro-RO" w:eastAsia="ro-MD"/>
        </w:rPr>
        <w:t>ele</w:t>
      </w:r>
      <w:r w:rsidRPr="002D468A">
        <w:rPr>
          <w:color w:val="000000" w:themeColor="text1"/>
          <w:lang w:val="ro-RO" w:eastAsia="ro-MD"/>
        </w:rPr>
        <w:t xml:space="preserve"> 1) și 2) </w:t>
      </w:r>
      <w:r w:rsidR="00E63124" w:rsidRPr="002D468A">
        <w:rPr>
          <w:color w:val="000000" w:themeColor="text1"/>
          <w:lang w:val="ro-RO" w:eastAsia="ro-MD"/>
        </w:rPr>
        <w:t>de la punctul 34</w:t>
      </w:r>
      <w:r w:rsidR="00E63124" w:rsidRPr="002D468A">
        <w:rPr>
          <w:color w:val="000000" w:themeColor="text1"/>
          <w:vertAlign w:val="superscript"/>
          <w:lang w:val="ro-RO" w:eastAsia="ro-MD"/>
        </w:rPr>
        <w:t>6</w:t>
      </w:r>
      <w:r w:rsidR="00E63124" w:rsidRPr="002D468A">
        <w:rPr>
          <w:color w:val="000000" w:themeColor="text1"/>
          <w:lang w:val="ro-RO" w:eastAsia="ro-MD"/>
        </w:rPr>
        <w:t xml:space="preserve"> </w:t>
      </w:r>
      <w:r w:rsidRPr="002D468A">
        <w:rPr>
          <w:color w:val="000000" w:themeColor="text1"/>
          <w:lang w:val="ro-RO" w:eastAsia="ro-MD"/>
        </w:rPr>
        <w:t xml:space="preserve">nu este îndeplinită într-un anumit an, </w:t>
      </w:r>
      <w:r w:rsidR="006319A3" w:rsidRPr="002D468A">
        <w:rPr>
          <w:color w:val="000000" w:themeColor="text1"/>
          <w:lang w:val="ro-RO" w:eastAsia="ro-MD"/>
        </w:rPr>
        <w:t>băncile</w:t>
      </w:r>
      <w:r w:rsidRPr="002D468A">
        <w:rPr>
          <w:color w:val="000000" w:themeColor="text1"/>
          <w:lang w:val="ro-RO" w:eastAsia="ro-MD"/>
        </w:rPr>
        <w:t xml:space="preserve"> nu aplică tratamentul specificat la </w:t>
      </w:r>
      <w:r w:rsidR="00E63124" w:rsidRPr="002D468A">
        <w:rPr>
          <w:color w:val="000000" w:themeColor="text1"/>
          <w:lang w:val="ro-RO" w:eastAsia="ro-MD"/>
        </w:rPr>
        <w:t xml:space="preserve">punctul </w:t>
      </w:r>
      <w:r w:rsidRPr="002D468A">
        <w:rPr>
          <w:color w:val="000000" w:themeColor="text1"/>
          <w:lang w:val="ro-RO" w:eastAsia="ro-MD"/>
        </w:rPr>
        <w:t>respectiv până când nu sunt satisfăcute, într-un an ulterior, ambele condiții.</w:t>
      </w:r>
    </w:p>
    <w:p w14:paraId="18F6BACC" w14:textId="41A18F2F" w:rsidR="0011444E" w:rsidRPr="002D468A" w:rsidRDefault="0011444E" w:rsidP="00930587">
      <w:pPr>
        <w:jc w:val="both"/>
        <w:rPr>
          <w:color w:val="000000" w:themeColor="text1"/>
          <w:lang w:val="ro-RO" w:eastAsia="ro-MD"/>
        </w:rPr>
      </w:pPr>
      <w:r w:rsidRPr="002D468A">
        <w:rPr>
          <w:b/>
          <w:bCs/>
          <w:color w:val="000000" w:themeColor="text1"/>
          <w:lang w:val="ro-RO" w:eastAsia="ro-MD"/>
        </w:rPr>
        <w:t>34</w:t>
      </w:r>
      <w:r w:rsidRPr="002D468A">
        <w:rPr>
          <w:b/>
          <w:bCs/>
          <w:color w:val="000000" w:themeColor="text1"/>
          <w:vertAlign w:val="superscript"/>
          <w:lang w:val="ro-RO" w:eastAsia="ro-MD"/>
        </w:rPr>
        <w:t>8</w:t>
      </w:r>
      <w:r w:rsidRPr="002D468A">
        <w:rPr>
          <w:b/>
          <w:bCs/>
          <w:color w:val="000000" w:themeColor="text1"/>
          <w:lang w:val="ro-RO" w:eastAsia="ro-MD"/>
        </w:rPr>
        <w:t>.</w:t>
      </w:r>
      <w:r w:rsidRPr="002D468A">
        <w:rPr>
          <w:color w:val="000000" w:themeColor="text1"/>
          <w:lang w:val="ro-RO" w:eastAsia="ro-MD"/>
        </w:rPr>
        <w:t xml:space="preserve"> Băncile pot aplica derogările menționate la punctele 34</w:t>
      </w:r>
      <w:r w:rsidRPr="002D468A">
        <w:rPr>
          <w:color w:val="000000" w:themeColor="text1"/>
          <w:vertAlign w:val="superscript"/>
          <w:lang w:val="ro-RO" w:eastAsia="ro-MD"/>
        </w:rPr>
        <w:t>4</w:t>
      </w:r>
      <w:r w:rsidRPr="002D468A">
        <w:rPr>
          <w:color w:val="000000" w:themeColor="text1"/>
          <w:lang w:val="ro-RO" w:eastAsia="ro-MD"/>
        </w:rPr>
        <w:t xml:space="preserve"> și 34</w:t>
      </w:r>
      <w:r w:rsidRPr="002D468A">
        <w:rPr>
          <w:color w:val="000000" w:themeColor="text1"/>
          <w:vertAlign w:val="superscript"/>
          <w:lang w:val="ro-RO" w:eastAsia="ro-MD"/>
        </w:rPr>
        <w:t>6</w:t>
      </w:r>
      <w:r w:rsidRPr="002D468A">
        <w:rPr>
          <w:color w:val="000000" w:themeColor="text1"/>
          <w:lang w:val="ro-RO" w:eastAsia="ro-MD"/>
        </w:rPr>
        <w:t xml:space="preserve"> și în cazurile în care autoritatea competentă a un</w:t>
      </w:r>
      <w:r w:rsidR="007C12B3" w:rsidRPr="002D468A">
        <w:rPr>
          <w:color w:val="000000" w:themeColor="text1"/>
          <w:lang w:val="ro-RO" w:eastAsia="ro-MD"/>
        </w:rPr>
        <w:t>ui</w:t>
      </w:r>
      <w:r w:rsidRPr="002D468A">
        <w:rPr>
          <w:color w:val="000000" w:themeColor="text1"/>
          <w:lang w:val="ro-RO" w:eastAsia="ro-MD"/>
        </w:rPr>
        <w:t xml:space="preserve"> </w:t>
      </w:r>
      <w:r w:rsidR="007C12B3" w:rsidRPr="002D468A">
        <w:rPr>
          <w:color w:val="000000" w:themeColor="text1"/>
          <w:lang w:val="ro-RO" w:eastAsia="ro-MD"/>
        </w:rPr>
        <w:t>alt stat</w:t>
      </w:r>
      <w:r w:rsidRPr="002D468A">
        <w:rPr>
          <w:color w:val="000000" w:themeColor="text1"/>
          <w:lang w:val="ro-RO" w:eastAsia="ro-MD"/>
        </w:rPr>
        <w:t xml:space="preserve"> care aplică mecanisme de supraveghere și de reglementare cel puțin echivalente cu cele aplicate în Republica Moldova</w:t>
      </w:r>
      <w:r w:rsidRPr="002D468A">
        <w:rPr>
          <w:color w:val="000000" w:themeColor="text1"/>
          <w:lang w:val="ro-RO"/>
        </w:rPr>
        <w:t xml:space="preserve"> </w:t>
      </w:r>
      <w:r w:rsidRPr="002D468A">
        <w:rPr>
          <w:color w:val="000000" w:themeColor="text1"/>
          <w:lang w:val="ro-RO" w:eastAsia="ro-MD"/>
        </w:rPr>
        <w:t xml:space="preserve">în privința băncilor conform anexei nr.5 la Regulamentul nr.111/2018, publică ratele pierderilor corespunzătoare pentru expunerile garantate cu bunuri imobile locative sau comerciale situate pe teritoriul </w:t>
      </w:r>
      <w:r w:rsidR="007C12B3" w:rsidRPr="002D468A">
        <w:rPr>
          <w:color w:val="000000" w:themeColor="text1"/>
          <w:lang w:val="ro-RO" w:eastAsia="ro-MD"/>
        </w:rPr>
        <w:t>statului</w:t>
      </w:r>
      <w:r w:rsidRPr="002D468A">
        <w:rPr>
          <w:color w:val="000000" w:themeColor="text1"/>
          <w:lang w:val="ro-RO" w:eastAsia="ro-MD"/>
        </w:rPr>
        <w:t xml:space="preserve"> respectiv.</w:t>
      </w:r>
    </w:p>
    <w:p w14:paraId="4C68DF4D" w14:textId="6F744A19" w:rsidR="0011444E" w:rsidRPr="002D468A" w:rsidRDefault="0011444E" w:rsidP="00930587">
      <w:pPr>
        <w:jc w:val="both"/>
        <w:rPr>
          <w:color w:val="000000" w:themeColor="text1"/>
          <w:lang w:val="ro-RO" w:eastAsia="ro-MD"/>
        </w:rPr>
      </w:pPr>
      <w:r w:rsidRPr="002D468A">
        <w:rPr>
          <w:b/>
          <w:bCs/>
          <w:color w:val="000000" w:themeColor="text1"/>
          <w:lang w:val="ro-RO" w:eastAsia="ro-MD"/>
        </w:rPr>
        <w:t>34</w:t>
      </w:r>
      <w:r w:rsidRPr="002D468A">
        <w:rPr>
          <w:b/>
          <w:bCs/>
          <w:color w:val="000000" w:themeColor="text1"/>
          <w:vertAlign w:val="superscript"/>
          <w:lang w:val="ro-RO" w:eastAsia="ro-MD"/>
        </w:rPr>
        <w:t>9</w:t>
      </w:r>
      <w:r w:rsidRPr="002D468A">
        <w:rPr>
          <w:b/>
          <w:bCs/>
          <w:color w:val="000000" w:themeColor="text1"/>
          <w:lang w:val="ro-RO" w:eastAsia="ro-MD"/>
        </w:rPr>
        <w:t>.</w:t>
      </w:r>
      <w:r w:rsidRPr="002D468A">
        <w:rPr>
          <w:color w:val="000000" w:themeColor="text1"/>
          <w:lang w:val="ro-RO" w:eastAsia="ro-MD"/>
        </w:rPr>
        <w:t xml:space="preserve"> Băncile pot utiliza drept garanții reale eligibile creanțele aferente unei tranzacții comerciale sau tranzacțiilor cu scadență inițială mai mică sau egală cu un an. Creanțele eligibile nu includ creanțele asociate securitizărilor, </w:t>
      </w:r>
      <w:proofErr w:type="spellStart"/>
      <w:r w:rsidRPr="002D468A">
        <w:rPr>
          <w:color w:val="000000" w:themeColor="text1"/>
          <w:lang w:val="ro-RO" w:eastAsia="ro-MD"/>
        </w:rPr>
        <w:t>subparticipațiilor</w:t>
      </w:r>
      <w:proofErr w:type="spellEnd"/>
      <w:r w:rsidRPr="002D468A">
        <w:rPr>
          <w:color w:val="000000" w:themeColor="text1"/>
          <w:lang w:val="ro-RO" w:eastAsia="ro-MD"/>
        </w:rPr>
        <w:t xml:space="preserve"> sau instrumentelor financiare derivate de credit și nici sumele datorate de părți afiliate.</w:t>
      </w:r>
    </w:p>
    <w:p w14:paraId="6E4B79D7" w14:textId="6DFECA0D" w:rsidR="0011444E" w:rsidRPr="002D468A" w:rsidRDefault="0011444E" w:rsidP="00930587">
      <w:pPr>
        <w:jc w:val="both"/>
        <w:rPr>
          <w:color w:val="000000" w:themeColor="text1"/>
          <w:sz w:val="18"/>
          <w:szCs w:val="18"/>
          <w:lang w:val="ro-RO" w:eastAsia="ro-MD"/>
        </w:rPr>
      </w:pPr>
      <w:r w:rsidRPr="002D468A">
        <w:rPr>
          <w:b/>
          <w:bCs/>
          <w:color w:val="000000" w:themeColor="text1"/>
          <w:lang w:val="ro-RO" w:eastAsia="ro-MD"/>
        </w:rPr>
        <w:t>34</w:t>
      </w:r>
      <w:r w:rsidRPr="002D468A">
        <w:rPr>
          <w:b/>
          <w:bCs/>
          <w:color w:val="000000" w:themeColor="text1"/>
          <w:vertAlign w:val="superscript"/>
          <w:lang w:val="ro-RO" w:eastAsia="ro-MD"/>
        </w:rPr>
        <w:t>10</w:t>
      </w:r>
      <w:r w:rsidRPr="002D468A">
        <w:rPr>
          <w:b/>
          <w:bCs/>
          <w:color w:val="000000" w:themeColor="text1"/>
          <w:lang w:val="ro-RO" w:eastAsia="ro-MD"/>
        </w:rPr>
        <w:t>.</w:t>
      </w:r>
      <w:r w:rsidRPr="002D468A">
        <w:rPr>
          <w:color w:val="000000" w:themeColor="text1"/>
          <w:lang w:val="ro-RO" w:eastAsia="ro-MD"/>
        </w:rPr>
        <w:t xml:space="preserve"> În cazul în care o bancă pentru dezvoltare publică, acordă un credit promoțional</w:t>
      </w:r>
      <w:r w:rsidR="00203E83" w:rsidRPr="002D468A">
        <w:rPr>
          <w:color w:val="000000" w:themeColor="text1"/>
          <w:lang w:val="ro-RO" w:eastAsia="ro-MD"/>
        </w:rPr>
        <w:t>,</w:t>
      </w:r>
      <w:r w:rsidRPr="002D468A">
        <w:rPr>
          <w:color w:val="000000" w:themeColor="text1"/>
          <w:lang w:val="ro-RO" w:eastAsia="ro-MD"/>
        </w:rPr>
        <w:t xml:space="preserve"> în scopul promovării obiectivelor de politică publică ale administrației centrale, ale administrației regionale sau ale autorității locale, unei alte bănci sau unei societăți financiare non-bancare care este autorizată să </w:t>
      </w:r>
      <w:r w:rsidRPr="002D468A">
        <w:rPr>
          <w:color w:val="000000" w:themeColor="text1"/>
          <w:lang w:val="ro-RO" w:eastAsia="ro-MD"/>
        </w:rPr>
        <w:lastRenderedPageBreak/>
        <w:t xml:space="preserve">desfășoare activitățile menționate la articolul 14 aliniatul (1) literele b) sau c) din Legea nr.202/2017 și care îndeplinește condițiile prevăzute la punctul 51 din Regulamentul nr.111/2018 și în cazul în care respectiva bancă sau societate financiară non-bancară transferă direct sau indirect creditul promoțional respectiv unui debitor final și cedează </w:t>
      </w:r>
      <w:r w:rsidR="006319A3" w:rsidRPr="002D468A">
        <w:rPr>
          <w:color w:val="000000" w:themeColor="text1"/>
          <w:lang w:val="ro-RO" w:eastAsia="ro-MD"/>
        </w:rPr>
        <w:t>băncii</w:t>
      </w:r>
      <w:r w:rsidRPr="002D468A">
        <w:rPr>
          <w:color w:val="000000" w:themeColor="text1"/>
          <w:lang w:val="ro-RO" w:eastAsia="ro-MD"/>
        </w:rPr>
        <w:t xml:space="preserve"> pentru dezvoltare publică creanța din creditul promoțional drept garanție reală, </w:t>
      </w:r>
      <w:r w:rsidR="006319A3" w:rsidRPr="002D468A">
        <w:rPr>
          <w:color w:val="000000" w:themeColor="text1"/>
          <w:lang w:val="ro-RO" w:eastAsia="ro-MD"/>
        </w:rPr>
        <w:t>banca</w:t>
      </w:r>
      <w:r w:rsidRPr="002D468A">
        <w:rPr>
          <w:color w:val="000000" w:themeColor="text1"/>
          <w:lang w:val="ro-RO" w:eastAsia="ro-MD"/>
        </w:rPr>
        <w:t xml:space="preserve"> pentru dezvoltare publică poate utiliza creanța cedată drept garanție reală eligibilă, indiferent de scadența inițială a creanței cedate.</w:t>
      </w:r>
    </w:p>
    <w:p w14:paraId="608E2A62" w14:textId="77777777" w:rsidR="0011444E" w:rsidRPr="002D468A" w:rsidRDefault="0011444E" w:rsidP="00930587">
      <w:pPr>
        <w:jc w:val="both"/>
        <w:rPr>
          <w:color w:val="000000" w:themeColor="text1"/>
          <w:lang w:val="ro-RO" w:eastAsia="ro-MD"/>
        </w:rPr>
      </w:pPr>
      <w:r w:rsidRPr="002D468A">
        <w:rPr>
          <w:b/>
          <w:bCs/>
          <w:color w:val="000000" w:themeColor="text1"/>
          <w:lang w:val="ro-RO" w:eastAsia="ro-MD"/>
        </w:rPr>
        <w:t>34</w:t>
      </w:r>
      <w:r w:rsidRPr="002D468A">
        <w:rPr>
          <w:b/>
          <w:bCs/>
          <w:color w:val="000000" w:themeColor="text1"/>
          <w:vertAlign w:val="superscript"/>
          <w:lang w:val="ro-RO" w:eastAsia="ro-MD"/>
        </w:rPr>
        <w:t>11</w:t>
      </w:r>
      <w:r w:rsidRPr="002D468A">
        <w:rPr>
          <w:b/>
          <w:bCs/>
          <w:color w:val="000000" w:themeColor="text1"/>
          <w:lang w:val="ro-RO" w:eastAsia="ro-MD"/>
        </w:rPr>
        <w:t>.</w:t>
      </w:r>
      <w:r w:rsidRPr="002D468A">
        <w:rPr>
          <w:color w:val="000000" w:themeColor="text1"/>
          <w:lang w:val="ro-RO" w:eastAsia="ro-MD"/>
        </w:rPr>
        <w:t xml:space="preserve"> În sensul punctului 34</w:t>
      </w:r>
      <w:r w:rsidRPr="002D468A">
        <w:rPr>
          <w:color w:val="000000" w:themeColor="text1"/>
          <w:vertAlign w:val="superscript"/>
          <w:lang w:val="ro-RO" w:eastAsia="ro-MD"/>
        </w:rPr>
        <w:t>10</w:t>
      </w:r>
      <w:r w:rsidRPr="002D468A">
        <w:rPr>
          <w:color w:val="000000" w:themeColor="text1"/>
          <w:lang w:val="ro-RO" w:eastAsia="ro-MD"/>
        </w:rPr>
        <w:t>, o bancă pentru dezvoltare publică reprezintă o bancă care îndeplinește cumulativ următoarele condiții:</w:t>
      </w:r>
    </w:p>
    <w:p w14:paraId="48FCE66A" w14:textId="20912D88" w:rsidR="0011444E" w:rsidRPr="002D468A" w:rsidRDefault="0011444E" w:rsidP="0011444E">
      <w:pPr>
        <w:ind w:firstLine="567"/>
        <w:jc w:val="both"/>
        <w:rPr>
          <w:color w:val="000000" w:themeColor="text1"/>
          <w:lang w:val="ro-RO" w:eastAsia="ro-MD"/>
        </w:rPr>
      </w:pPr>
      <w:r w:rsidRPr="002D468A">
        <w:rPr>
          <w:color w:val="000000" w:themeColor="text1"/>
          <w:lang w:val="ro-RO" w:eastAsia="ro-MD"/>
        </w:rPr>
        <w:t>1) a fost înființată de o administrație centrală, administrație regională sau autoritate locală din Republica Moldova;</w:t>
      </w:r>
    </w:p>
    <w:p w14:paraId="2920512B" w14:textId="7C8C815C" w:rsidR="0011444E" w:rsidRPr="002D468A" w:rsidRDefault="0011444E" w:rsidP="0011444E">
      <w:pPr>
        <w:ind w:firstLine="567"/>
        <w:jc w:val="both"/>
        <w:rPr>
          <w:color w:val="000000" w:themeColor="text1"/>
          <w:lang w:val="ro-RO" w:eastAsia="ro-MD"/>
        </w:rPr>
      </w:pPr>
      <w:r w:rsidRPr="002D468A">
        <w:rPr>
          <w:color w:val="000000" w:themeColor="text1"/>
          <w:lang w:val="ro-RO" w:eastAsia="ro-MD"/>
        </w:rPr>
        <w:t>2) activitatea sa este limitată la promovarea unor obiective specificate de politică publică financiară, socială sau economică, în conformitate cu cadrul legal și dispozițiile care reglementează respectiva bancă, inclusiv statutul, pe o bază neconcurențială. Obiectivele de politică publică pot include furnizarea de finanțare, în scopuri de promovare sau dezvoltare, anumitor sectoare economice sau regiuni geografice din</w:t>
      </w:r>
      <w:r w:rsidR="000D73D1" w:rsidRPr="002D468A">
        <w:rPr>
          <w:color w:val="000000" w:themeColor="text1"/>
          <w:lang w:val="ro-RO" w:eastAsia="ro-MD"/>
        </w:rPr>
        <w:t xml:space="preserve"> Republica Moldova</w:t>
      </w:r>
      <w:r w:rsidRPr="002D468A">
        <w:rPr>
          <w:color w:val="000000" w:themeColor="text1"/>
          <w:lang w:val="ro-RO" w:eastAsia="ro-MD"/>
        </w:rPr>
        <w:t>;</w:t>
      </w:r>
    </w:p>
    <w:p w14:paraId="57D69E3C" w14:textId="77777777" w:rsidR="0011444E" w:rsidRPr="002D468A" w:rsidRDefault="0011444E" w:rsidP="0011444E">
      <w:pPr>
        <w:ind w:firstLine="567"/>
        <w:jc w:val="both"/>
        <w:rPr>
          <w:color w:val="000000" w:themeColor="text1"/>
          <w:lang w:val="ro-RO" w:eastAsia="ro-MD"/>
        </w:rPr>
      </w:pPr>
      <w:r w:rsidRPr="002D468A">
        <w:rPr>
          <w:color w:val="000000" w:themeColor="text1"/>
          <w:lang w:val="ro-RO" w:eastAsia="ro-MD"/>
        </w:rPr>
        <w:t>3) scopul său nu este de a maximiza profitul sau cota de piață;</w:t>
      </w:r>
    </w:p>
    <w:p w14:paraId="5F8145CD" w14:textId="3258390B" w:rsidR="0011444E" w:rsidRPr="002D468A" w:rsidRDefault="0011444E" w:rsidP="0011444E">
      <w:pPr>
        <w:ind w:firstLine="567"/>
        <w:jc w:val="both"/>
        <w:rPr>
          <w:color w:val="000000" w:themeColor="text1"/>
          <w:lang w:val="ro-RO" w:eastAsia="ro-MD"/>
        </w:rPr>
      </w:pPr>
      <w:r w:rsidRPr="002D468A">
        <w:rPr>
          <w:color w:val="000000" w:themeColor="text1"/>
          <w:lang w:val="ro-RO" w:eastAsia="ro-MD"/>
        </w:rPr>
        <w:t xml:space="preserve">4) sub rezerva normelor </w:t>
      </w:r>
      <w:r w:rsidR="000D73D1" w:rsidRPr="002D468A">
        <w:rPr>
          <w:color w:val="000000" w:themeColor="text1"/>
          <w:lang w:val="ro-RO" w:eastAsia="ro-MD"/>
        </w:rPr>
        <w:t>aplicabile</w:t>
      </w:r>
      <w:r w:rsidRPr="002D468A">
        <w:rPr>
          <w:color w:val="000000" w:themeColor="text1"/>
          <w:lang w:val="ro-RO" w:eastAsia="ro-MD"/>
        </w:rPr>
        <w:t xml:space="preserve"> privind ajutoarele de stat, administrația centrală, administrația regională sau autoritatea locală are obligația de a proteja viabilitatea băncii sau garantează, în mod direct sau indirect, cel puțin 90% din cerințele de fonduri proprii, cerințele de finanțare sau creditele promoționale acordate ale băncii;</w:t>
      </w:r>
    </w:p>
    <w:p w14:paraId="7D5FB9C9" w14:textId="5DE1F32C" w:rsidR="0011444E" w:rsidRPr="002D468A" w:rsidRDefault="0011444E" w:rsidP="0011444E">
      <w:pPr>
        <w:ind w:firstLine="567"/>
        <w:jc w:val="both"/>
        <w:rPr>
          <w:color w:val="000000" w:themeColor="text1"/>
          <w:lang w:val="ro-RO" w:eastAsia="ro-MD"/>
        </w:rPr>
      </w:pPr>
      <w:r w:rsidRPr="002D468A">
        <w:rPr>
          <w:color w:val="000000" w:themeColor="text1"/>
          <w:lang w:val="ro-RO" w:eastAsia="ro-MD"/>
        </w:rPr>
        <w:t>5) nu acceptă depozite acoperite, conform Legii nr.160/2023 cu privire la garantarea depozitelor în bănci, care pot fi clasificate drept depozite la termen sau depozite de economii de la consumatori.</w:t>
      </w:r>
    </w:p>
    <w:p w14:paraId="5C675EEF" w14:textId="77777777" w:rsidR="0011444E" w:rsidRPr="002D468A" w:rsidRDefault="0011444E" w:rsidP="00930587">
      <w:pPr>
        <w:jc w:val="both"/>
        <w:rPr>
          <w:color w:val="000000" w:themeColor="text1"/>
          <w:lang w:val="ro-RO" w:eastAsia="ro-MD"/>
        </w:rPr>
      </w:pPr>
      <w:r w:rsidRPr="002D468A">
        <w:rPr>
          <w:b/>
          <w:bCs/>
          <w:color w:val="000000" w:themeColor="text1"/>
          <w:lang w:val="ro-RO" w:eastAsia="ro-MD"/>
        </w:rPr>
        <w:t>34</w:t>
      </w:r>
      <w:r w:rsidRPr="002D468A">
        <w:rPr>
          <w:b/>
          <w:bCs/>
          <w:color w:val="000000" w:themeColor="text1"/>
          <w:vertAlign w:val="superscript"/>
          <w:lang w:val="ro-RO" w:eastAsia="ro-MD"/>
        </w:rPr>
        <w:t>12</w:t>
      </w:r>
      <w:r w:rsidRPr="002D468A">
        <w:rPr>
          <w:b/>
          <w:bCs/>
          <w:color w:val="000000" w:themeColor="text1"/>
          <w:lang w:val="ro-RO" w:eastAsia="ro-MD"/>
        </w:rPr>
        <w:t>.</w:t>
      </w:r>
      <w:r w:rsidRPr="002D468A">
        <w:rPr>
          <w:color w:val="000000" w:themeColor="text1"/>
          <w:lang w:val="ro-RO" w:eastAsia="ro-MD"/>
        </w:rPr>
        <w:t xml:space="preserve"> Băncile pot să utilizeze drept garanții reale eligibile garanțiile reale corporale de alt tip decât cele indicate la punctele 34</w:t>
      </w:r>
      <w:r w:rsidRPr="002D468A">
        <w:rPr>
          <w:color w:val="000000" w:themeColor="text1"/>
          <w:vertAlign w:val="superscript"/>
          <w:lang w:val="ro-RO" w:eastAsia="ro-MD"/>
        </w:rPr>
        <w:t>3</w:t>
      </w:r>
      <w:r w:rsidRPr="002D468A">
        <w:rPr>
          <w:color w:val="000000" w:themeColor="text1"/>
          <w:lang w:val="ro-RO" w:eastAsia="ro-MD"/>
        </w:rPr>
        <w:t xml:space="preserve"> - 34</w:t>
      </w:r>
      <w:r w:rsidRPr="002D468A">
        <w:rPr>
          <w:color w:val="000000" w:themeColor="text1"/>
          <w:vertAlign w:val="superscript"/>
          <w:lang w:val="ro-RO" w:eastAsia="ro-MD"/>
        </w:rPr>
        <w:t>7</w:t>
      </w:r>
      <w:r w:rsidRPr="002D468A">
        <w:rPr>
          <w:color w:val="000000" w:themeColor="text1"/>
          <w:lang w:val="ro-RO" w:eastAsia="ro-MD"/>
        </w:rPr>
        <w:t>, dacă sunt îndeplinite cumulativ următoarele condiții:</w:t>
      </w:r>
    </w:p>
    <w:p w14:paraId="04B1EE0A" w14:textId="3671973E" w:rsidR="0011444E" w:rsidRPr="002D468A" w:rsidRDefault="0011444E" w:rsidP="0011444E">
      <w:pPr>
        <w:ind w:firstLine="567"/>
        <w:jc w:val="both"/>
        <w:rPr>
          <w:color w:val="000000" w:themeColor="text1"/>
          <w:lang w:val="ro-RO" w:eastAsia="ro-MD"/>
        </w:rPr>
      </w:pPr>
      <w:r w:rsidRPr="002D468A">
        <w:rPr>
          <w:color w:val="000000" w:themeColor="text1"/>
          <w:lang w:val="ro-RO" w:eastAsia="ro-MD"/>
        </w:rPr>
        <w:t>1) există piețe lichide, o dovadă în acest sens fiind tranzacțiile frecvente, ținând seama de tipul de activ, pentru cedarea garanției reale în mod rapid și eficient din punct de vedere economic. Băncile trebuie să evalueze această condiție periodic și atunci când informațiile indică producerea unor modificări semnificative pe piață;</w:t>
      </w:r>
    </w:p>
    <w:p w14:paraId="3905A8BC" w14:textId="0AC5C209" w:rsidR="0011444E" w:rsidRPr="002D468A" w:rsidRDefault="0011444E" w:rsidP="0011444E">
      <w:pPr>
        <w:ind w:firstLine="567"/>
        <w:jc w:val="both"/>
        <w:rPr>
          <w:color w:val="000000" w:themeColor="text1"/>
          <w:lang w:val="ro-RO" w:eastAsia="ro-MD"/>
        </w:rPr>
      </w:pPr>
      <w:r w:rsidRPr="002D468A">
        <w:rPr>
          <w:color w:val="000000" w:themeColor="text1"/>
          <w:lang w:val="ro-RO" w:eastAsia="ro-MD"/>
        </w:rPr>
        <w:t>2) există prețuri de piață bine stabilite și disponibile public pentru garanția reală. Băncile pot considera că prețurile de piață sunt bine stabilite, dacă acestea provin din surse credibile de informații, precum indici publici, și reflectă prețul tranzacțiilor efectuate în condiții normale. Băncile pot considera că prețurile de piață sunt disponibile public, dacă acestea sunt comunicate, sunt ușor accesibile și pot fi obținute cu regularitate și fără eforturi administrative sau financiare nejustificate;</w:t>
      </w:r>
    </w:p>
    <w:p w14:paraId="2927097E" w14:textId="0CEBFEF9" w:rsidR="0011444E" w:rsidRPr="002D468A" w:rsidRDefault="0011444E" w:rsidP="0011444E">
      <w:pPr>
        <w:tabs>
          <w:tab w:val="left" w:pos="840"/>
        </w:tabs>
        <w:ind w:firstLine="567"/>
        <w:jc w:val="both"/>
        <w:rPr>
          <w:color w:val="000000" w:themeColor="text1"/>
          <w:lang w:val="ro-RO" w:eastAsia="ro-MD"/>
        </w:rPr>
      </w:pPr>
      <w:r w:rsidRPr="002D468A">
        <w:rPr>
          <w:color w:val="000000" w:themeColor="text1"/>
          <w:lang w:val="ro-RO" w:eastAsia="ro-MD"/>
        </w:rPr>
        <w:t>3) banca analizează prețurile de piață, timpul și costurile necesare pentru executarea garanției reale, precum și sumele obținute în urma executării garanției reale;</w:t>
      </w:r>
    </w:p>
    <w:p w14:paraId="59A3EE67" w14:textId="4CABA9A1" w:rsidR="0011444E" w:rsidRPr="002D468A" w:rsidRDefault="0011444E" w:rsidP="0011444E">
      <w:pPr>
        <w:ind w:firstLine="567"/>
        <w:jc w:val="both"/>
        <w:rPr>
          <w:color w:val="000000" w:themeColor="text1"/>
          <w:lang w:val="ro-RO" w:eastAsia="ro-MD"/>
        </w:rPr>
      </w:pPr>
      <w:r w:rsidRPr="002D468A">
        <w:rPr>
          <w:color w:val="000000" w:themeColor="text1"/>
          <w:lang w:val="ro-RO" w:eastAsia="ro-MD"/>
        </w:rPr>
        <w:t>4) banca demonstrează că, în cel puțin 90% din totalul lichidărilor corespunzătoare unui anumit tip de garanție reală, sumele obținute în urma executării garanției reale nu sunt mai mici de 70% din valoarea garanției reale; în cazul în care există o volatilitate semnificativă a prețurilor pieței, banca demonstrează Băncii Naționale a Moldovei, într-un mod pe care aceasta îl consideră satisfăcător, că propria evaluare a garanției reale este suficient de prudentă.</w:t>
      </w:r>
    </w:p>
    <w:p w14:paraId="00FDD823" w14:textId="40C28B06" w:rsidR="0011444E" w:rsidRPr="002D468A" w:rsidRDefault="0011444E" w:rsidP="00930587">
      <w:pPr>
        <w:jc w:val="both"/>
        <w:rPr>
          <w:color w:val="000000" w:themeColor="text1"/>
          <w:lang w:val="ro-RO" w:eastAsia="ro-MD"/>
        </w:rPr>
      </w:pPr>
      <w:r w:rsidRPr="002D468A">
        <w:rPr>
          <w:b/>
          <w:bCs/>
          <w:color w:val="000000" w:themeColor="text1"/>
          <w:lang w:val="ro-RO" w:eastAsia="ro-MD"/>
        </w:rPr>
        <w:t>34</w:t>
      </w:r>
      <w:r w:rsidRPr="002D468A">
        <w:rPr>
          <w:b/>
          <w:bCs/>
          <w:color w:val="000000" w:themeColor="text1"/>
          <w:vertAlign w:val="superscript"/>
          <w:lang w:val="ro-RO" w:eastAsia="ro-MD"/>
        </w:rPr>
        <w:t>13</w:t>
      </w:r>
      <w:r w:rsidRPr="002D468A">
        <w:rPr>
          <w:b/>
          <w:bCs/>
          <w:color w:val="000000" w:themeColor="text1"/>
          <w:lang w:val="ro-RO" w:eastAsia="ro-MD"/>
        </w:rPr>
        <w:t>.</w:t>
      </w:r>
      <w:r w:rsidRPr="002D468A">
        <w:rPr>
          <w:color w:val="000000" w:themeColor="text1"/>
          <w:lang w:val="ro-RO" w:eastAsia="ro-MD"/>
        </w:rPr>
        <w:t xml:space="preserve"> Băncile trebuie să formalizeze îndeplinirea condițiilor specificate la punctul 34</w:t>
      </w:r>
      <w:r w:rsidRPr="002D468A">
        <w:rPr>
          <w:color w:val="000000" w:themeColor="text1"/>
          <w:vertAlign w:val="superscript"/>
          <w:lang w:val="ro-RO" w:eastAsia="ro-MD"/>
        </w:rPr>
        <w:t>12</w:t>
      </w:r>
      <w:r w:rsidRPr="002D468A">
        <w:rPr>
          <w:color w:val="000000" w:themeColor="text1"/>
          <w:lang w:val="ro-RO" w:eastAsia="ro-MD"/>
        </w:rPr>
        <w:t xml:space="preserve"> și la punctele 5</w:t>
      </w:r>
      <w:r w:rsidR="00A669CB" w:rsidRPr="002D468A">
        <w:rPr>
          <w:color w:val="000000" w:themeColor="text1"/>
          <w:lang w:val="ro-RO" w:eastAsia="ro-MD"/>
        </w:rPr>
        <w:t>0</w:t>
      </w:r>
      <w:r w:rsidRPr="002D468A">
        <w:rPr>
          <w:color w:val="000000" w:themeColor="text1"/>
          <w:vertAlign w:val="superscript"/>
          <w:lang w:val="ro-RO" w:eastAsia="ro-MD"/>
        </w:rPr>
        <w:t>5</w:t>
      </w:r>
      <w:r w:rsidRPr="002D468A">
        <w:rPr>
          <w:color w:val="000000" w:themeColor="text1"/>
          <w:lang w:val="ro-RO" w:eastAsia="ro-MD"/>
        </w:rPr>
        <w:t>-5</w:t>
      </w:r>
      <w:r w:rsidR="00A669CB" w:rsidRPr="002D468A">
        <w:rPr>
          <w:color w:val="000000" w:themeColor="text1"/>
          <w:lang w:val="ro-RO" w:eastAsia="ro-MD"/>
        </w:rPr>
        <w:t>0</w:t>
      </w:r>
      <w:r w:rsidRPr="002D468A">
        <w:rPr>
          <w:color w:val="000000" w:themeColor="text1"/>
          <w:vertAlign w:val="superscript"/>
          <w:lang w:val="ro-RO" w:eastAsia="ro-MD"/>
        </w:rPr>
        <w:t>6</w:t>
      </w:r>
      <w:r w:rsidRPr="002D468A">
        <w:rPr>
          <w:color w:val="000000" w:themeColor="text1"/>
          <w:lang w:val="ro-RO" w:eastAsia="ro-MD"/>
        </w:rPr>
        <w:t>.</w:t>
      </w:r>
    </w:p>
    <w:p w14:paraId="5647BD69" w14:textId="7D912579" w:rsidR="001221A2" w:rsidRPr="002D468A" w:rsidRDefault="0011444E" w:rsidP="0011444E">
      <w:pPr>
        <w:tabs>
          <w:tab w:val="left" w:pos="567"/>
        </w:tabs>
        <w:spacing w:before="80"/>
        <w:jc w:val="both"/>
        <w:rPr>
          <w:color w:val="000000" w:themeColor="text1"/>
          <w:lang w:val="ro-MD"/>
        </w:rPr>
      </w:pPr>
      <w:r w:rsidRPr="002D468A">
        <w:rPr>
          <w:b/>
          <w:bCs/>
          <w:color w:val="000000" w:themeColor="text1"/>
          <w:lang w:val="ro-RO" w:eastAsia="ro-MD"/>
        </w:rPr>
        <w:t>34</w:t>
      </w:r>
      <w:r w:rsidRPr="002D468A">
        <w:rPr>
          <w:b/>
          <w:bCs/>
          <w:color w:val="000000" w:themeColor="text1"/>
          <w:vertAlign w:val="superscript"/>
          <w:lang w:val="ro-RO" w:eastAsia="ro-MD"/>
        </w:rPr>
        <w:t>14</w:t>
      </w:r>
      <w:r w:rsidRPr="002D468A">
        <w:rPr>
          <w:b/>
          <w:bCs/>
          <w:color w:val="000000" w:themeColor="text1"/>
          <w:lang w:val="ro-RO" w:eastAsia="ro-MD"/>
        </w:rPr>
        <w:t>.</w:t>
      </w:r>
      <w:r w:rsidRPr="002D468A">
        <w:rPr>
          <w:color w:val="000000" w:themeColor="text1"/>
          <w:lang w:val="ro-RO" w:eastAsia="ro-MD"/>
        </w:rPr>
        <w:t xml:space="preserve"> Sub rezerva dispozițiilor punctului 107</w:t>
      </w:r>
      <w:r w:rsidRPr="002D468A">
        <w:rPr>
          <w:color w:val="000000" w:themeColor="text1"/>
          <w:vertAlign w:val="superscript"/>
          <w:lang w:val="ro-RO" w:eastAsia="ro-MD"/>
        </w:rPr>
        <w:t>7</w:t>
      </w:r>
      <w:r w:rsidRPr="002D468A">
        <w:rPr>
          <w:color w:val="000000" w:themeColor="text1"/>
          <w:lang w:val="ro-RO" w:eastAsia="ro-MD"/>
        </w:rPr>
        <w:t>, în cazul în care cerințele prevăzute la punctul 5</w:t>
      </w:r>
      <w:r w:rsidR="00B334C6" w:rsidRPr="002D468A">
        <w:rPr>
          <w:color w:val="000000" w:themeColor="text1"/>
          <w:lang w:val="ro-RO" w:eastAsia="ro-MD"/>
        </w:rPr>
        <w:t>0</w:t>
      </w:r>
      <w:r w:rsidRPr="002D468A">
        <w:rPr>
          <w:color w:val="000000" w:themeColor="text1"/>
          <w:vertAlign w:val="superscript"/>
          <w:lang w:val="ro-RO" w:eastAsia="ro-MD"/>
        </w:rPr>
        <w:t>7</w:t>
      </w:r>
      <w:r w:rsidRPr="002D468A">
        <w:rPr>
          <w:color w:val="000000" w:themeColor="text1"/>
          <w:lang w:val="ro-RO" w:eastAsia="ro-MD"/>
        </w:rPr>
        <w:t xml:space="preserve"> sunt îndeplinite, expunerile decurgând din operațiuni de leasing prin care o bancă dă în leasing un bun unei părți terțe pot fi tratate la fel ca creditele garantate cu tipul de bun dat în leasing.”.</w:t>
      </w:r>
    </w:p>
    <w:p w14:paraId="66D13EFA" w14:textId="63BB3FDC" w:rsidR="002337D1" w:rsidRPr="002D468A" w:rsidRDefault="002337D1" w:rsidP="00DD1675">
      <w:pPr>
        <w:pStyle w:val="ListParagraph"/>
        <w:numPr>
          <w:ilvl w:val="1"/>
          <w:numId w:val="27"/>
        </w:numPr>
        <w:tabs>
          <w:tab w:val="left" w:pos="567"/>
        </w:tabs>
        <w:spacing w:before="80"/>
        <w:ind w:left="0" w:firstLine="567"/>
        <w:contextualSpacing w:val="0"/>
        <w:jc w:val="both"/>
        <w:rPr>
          <w:color w:val="000000" w:themeColor="text1"/>
          <w:lang w:val="ro-MD"/>
        </w:rPr>
      </w:pPr>
      <w:r w:rsidRPr="002D468A">
        <w:rPr>
          <w:color w:val="000000" w:themeColor="text1"/>
          <w:lang w:val="ro-MD"/>
        </w:rPr>
        <w:t xml:space="preserve">La punctul </w:t>
      </w:r>
      <w:r w:rsidR="00E8743D" w:rsidRPr="002D468A">
        <w:rPr>
          <w:color w:val="000000" w:themeColor="text1"/>
          <w:lang w:val="ro-MD"/>
        </w:rPr>
        <w:t>3</w:t>
      </w:r>
      <w:r w:rsidRPr="002D468A">
        <w:rPr>
          <w:color w:val="000000" w:themeColor="text1"/>
          <w:lang w:val="ro-MD"/>
        </w:rPr>
        <w:t>5:</w:t>
      </w:r>
    </w:p>
    <w:p w14:paraId="79441E35" w14:textId="00B6A4E8" w:rsidR="00F9105A" w:rsidRPr="002D468A" w:rsidRDefault="0042197B" w:rsidP="00E8743D">
      <w:pPr>
        <w:pStyle w:val="ListParagraph"/>
        <w:numPr>
          <w:ilvl w:val="2"/>
          <w:numId w:val="27"/>
        </w:numPr>
        <w:tabs>
          <w:tab w:val="left" w:pos="567"/>
        </w:tabs>
        <w:ind w:left="0" w:firstLine="567"/>
        <w:jc w:val="both"/>
        <w:rPr>
          <w:color w:val="000000" w:themeColor="text1"/>
          <w:lang w:val="ro-MD"/>
        </w:rPr>
      </w:pPr>
      <w:r w:rsidRPr="002D468A">
        <w:rPr>
          <w:color w:val="000000" w:themeColor="text1"/>
          <w:lang w:val="ro-MD"/>
        </w:rPr>
        <w:t>la s</w:t>
      </w:r>
      <w:r w:rsidR="0055372C" w:rsidRPr="002D468A">
        <w:rPr>
          <w:color w:val="000000" w:themeColor="text1"/>
          <w:lang w:val="ro-MD"/>
        </w:rPr>
        <w:t>ubpunctul 1)</w:t>
      </w:r>
      <w:r w:rsidRPr="002D468A">
        <w:rPr>
          <w:color w:val="000000" w:themeColor="text1"/>
          <w:lang w:val="ro-MD"/>
        </w:rPr>
        <w:t xml:space="preserve"> textul </w:t>
      </w:r>
      <w:r w:rsidR="002337D1" w:rsidRPr="002D468A">
        <w:rPr>
          <w:color w:val="000000" w:themeColor="text1"/>
          <w:lang w:val="ro-MD"/>
        </w:rPr>
        <w:t>„</w:t>
      </w:r>
      <w:r w:rsidRPr="002D468A">
        <w:rPr>
          <w:color w:val="000000" w:themeColor="text1"/>
          <w:lang w:val="ro-MD"/>
        </w:rPr>
        <w:t xml:space="preserve">care dispune individual sau grupul din care face parte banca respectivă dispune de o evaluare a creditului efectuată de o ECAI, pe care Banca Națională a Moldovei </w:t>
      </w:r>
      <w:r w:rsidRPr="002D468A">
        <w:rPr>
          <w:color w:val="000000" w:themeColor="text1"/>
          <w:lang w:val="ro-MD"/>
        </w:rPr>
        <w:lastRenderedPageBreak/>
        <w:t>a asociat-o cu nivelul 3 de calitate a creditului sau cu un nivel superior, în conformitate cu normele de ponderare la risc a expunerilor față de bănci sau a expunerilor pe termen scurt, prevăzute în Regulamentul nr.111/2018</w:t>
      </w:r>
      <w:r w:rsidR="002337D1" w:rsidRPr="002D468A">
        <w:rPr>
          <w:color w:val="000000" w:themeColor="text1"/>
          <w:lang w:val="ro-MD"/>
        </w:rPr>
        <w:t>” s</w:t>
      </w:r>
      <w:r w:rsidRPr="002D468A">
        <w:rPr>
          <w:color w:val="000000" w:themeColor="text1"/>
          <w:lang w:val="ro-MD"/>
        </w:rPr>
        <w:t>e exclude</w:t>
      </w:r>
      <w:r w:rsidR="002337D1" w:rsidRPr="002D468A">
        <w:rPr>
          <w:color w:val="000000" w:themeColor="text1"/>
          <w:lang w:val="ro-MD"/>
        </w:rPr>
        <w:t>;</w:t>
      </w:r>
    </w:p>
    <w:p w14:paraId="0C13A200" w14:textId="77777777" w:rsidR="0042197B" w:rsidRPr="002D468A" w:rsidRDefault="0042197B" w:rsidP="00E8743D">
      <w:pPr>
        <w:pStyle w:val="ListParagraph"/>
        <w:numPr>
          <w:ilvl w:val="2"/>
          <w:numId w:val="27"/>
        </w:numPr>
        <w:tabs>
          <w:tab w:val="left" w:pos="567"/>
        </w:tabs>
        <w:ind w:left="0" w:firstLine="567"/>
        <w:jc w:val="both"/>
        <w:rPr>
          <w:color w:val="000000" w:themeColor="text1"/>
          <w:lang w:val="ro-MD"/>
        </w:rPr>
      </w:pPr>
      <w:r w:rsidRPr="002D468A">
        <w:rPr>
          <w:color w:val="000000" w:themeColor="text1"/>
          <w:lang w:val="ro-MD"/>
        </w:rPr>
        <w:t>la subpunctul 2) textul</w:t>
      </w:r>
      <w:r w:rsidR="002337D1" w:rsidRPr="002D468A">
        <w:rPr>
          <w:color w:val="000000" w:themeColor="text1"/>
          <w:lang w:val="ro-MD"/>
        </w:rPr>
        <w:t xml:space="preserve"> „</w:t>
      </w:r>
      <w:r w:rsidRPr="002D468A">
        <w:rPr>
          <w:color w:val="000000" w:themeColor="text1"/>
          <w:lang w:val="ro-MD"/>
        </w:rPr>
        <w:t>care au o evaluare a creditului efectuată de o ECAI, pe care Banca Națională a Moldovei a asociat-o cu nivelul 3 de calitate a creditului sau cu un nivel superior, în conformitate cu normele de ponderare la risc a expunerilor față de bănci sau a expunerilor pe termen scurt, prevăzute în Regulamentul nr.111/2018</w:t>
      </w:r>
      <w:r w:rsidR="002337D1" w:rsidRPr="002D468A">
        <w:rPr>
          <w:color w:val="000000" w:themeColor="text1"/>
          <w:lang w:val="ro-MD"/>
        </w:rPr>
        <w:t>”</w:t>
      </w:r>
      <w:r w:rsidRPr="002D468A">
        <w:rPr>
          <w:color w:val="000000" w:themeColor="text1"/>
          <w:lang w:val="ro-MD"/>
        </w:rPr>
        <w:t xml:space="preserve"> se exclude;</w:t>
      </w:r>
    </w:p>
    <w:p w14:paraId="59F7726A" w14:textId="77777777" w:rsidR="0042197B" w:rsidRPr="002D468A" w:rsidRDefault="0042197B" w:rsidP="00E8743D">
      <w:pPr>
        <w:pStyle w:val="ListParagraph"/>
        <w:numPr>
          <w:ilvl w:val="2"/>
          <w:numId w:val="27"/>
        </w:numPr>
        <w:tabs>
          <w:tab w:val="left" w:pos="567"/>
        </w:tabs>
        <w:ind w:left="0" w:firstLine="567"/>
        <w:jc w:val="both"/>
        <w:rPr>
          <w:color w:val="000000" w:themeColor="text1"/>
          <w:lang w:val="ro-MD"/>
        </w:rPr>
      </w:pPr>
      <w:r w:rsidRPr="002D468A">
        <w:rPr>
          <w:color w:val="000000" w:themeColor="text1"/>
          <w:lang w:val="ro-MD"/>
        </w:rPr>
        <w:t>se completează cu subpunctul 3) cu următorul cuprins:</w:t>
      </w:r>
    </w:p>
    <w:p w14:paraId="1013426D" w14:textId="49573CCA" w:rsidR="002337D1" w:rsidRPr="002D468A" w:rsidRDefault="0042197B" w:rsidP="0042197B">
      <w:pPr>
        <w:tabs>
          <w:tab w:val="left" w:pos="567"/>
        </w:tabs>
        <w:jc w:val="both"/>
        <w:rPr>
          <w:color w:val="000000" w:themeColor="text1"/>
          <w:lang w:val="ro-MD"/>
        </w:rPr>
      </w:pPr>
      <w:r w:rsidRPr="002D468A">
        <w:rPr>
          <w:color w:val="000000" w:themeColor="text1"/>
          <w:lang w:val="ro-MD"/>
        </w:rPr>
        <w:t>„3) polițele de asigurare de viață gajate în favoarea băncii creditoare</w:t>
      </w:r>
      <w:r w:rsidR="002337D1" w:rsidRPr="002D468A">
        <w:rPr>
          <w:color w:val="000000" w:themeColor="text1"/>
          <w:lang w:val="ro-MD"/>
        </w:rPr>
        <w:t>.</w:t>
      </w:r>
      <w:r w:rsidRPr="002D468A">
        <w:rPr>
          <w:color w:val="000000" w:themeColor="text1"/>
          <w:lang w:val="ro-MD"/>
        </w:rPr>
        <w:t>”.</w:t>
      </w:r>
    </w:p>
    <w:p w14:paraId="16458495" w14:textId="7050C730" w:rsidR="00113164" w:rsidRPr="002D468A" w:rsidRDefault="00FC0BDA" w:rsidP="00DD1675">
      <w:pPr>
        <w:pStyle w:val="ListParagraph"/>
        <w:numPr>
          <w:ilvl w:val="1"/>
          <w:numId w:val="27"/>
        </w:numPr>
        <w:tabs>
          <w:tab w:val="left" w:pos="567"/>
        </w:tabs>
        <w:spacing w:before="80"/>
        <w:ind w:left="0" w:firstLine="567"/>
        <w:contextualSpacing w:val="0"/>
        <w:jc w:val="both"/>
        <w:rPr>
          <w:color w:val="000000" w:themeColor="text1"/>
          <w:lang w:val="ro-MD"/>
        </w:rPr>
      </w:pPr>
      <w:r w:rsidRPr="002D468A">
        <w:rPr>
          <w:color w:val="000000" w:themeColor="text1"/>
          <w:lang w:val="ro-MD"/>
        </w:rPr>
        <w:t xml:space="preserve">Punctul </w:t>
      </w:r>
      <w:r w:rsidR="0084652F" w:rsidRPr="002D468A">
        <w:rPr>
          <w:color w:val="000000" w:themeColor="text1"/>
          <w:lang w:val="ro-MD"/>
        </w:rPr>
        <w:t>36</w:t>
      </w:r>
      <w:r w:rsidR="00113164" w:rsidRPr="002D468A">
        <w:rPr>
          <w:color w:val="000000" w:themeColor="text1"/>
          <w:lang w:val="ro-MD"/>
        </w:rPr>
        <w:t xml:space="preserve"> va avea următorul cuprins:</w:t>
      </w:r>
    </w:p>
    <w:p w14:paraId="71AEBE39" w14:textId="21885C95" w:rsidR="0084652F" w:rsidRPr="002D468A" w:rsidRDefault="00113164" w:rsidP="0084652F">
      <w:pPr>
        <w:jc w:val="both"/>
        <w:rPr>
          <w:color w:val="000000" w:themeColor="text1"/>
          <w:lang w:val="ro-RO" w:eastAsia="ro-MD"/>
        </w:rPr>
      </w:pPr>
      <w:r w:rsidRPr="002D468A">
        <w:rPr>
          <w:color w:val="000000" w:themeColor="text1"/>
          <w:lang w:val="ro-MD"/>
        </w:rPr>
        <w:t>„</w:t>
      </w:r>
      <w:r w:rsidR="0084652F" w:rsidRPr="002D468A">
        <w:rPr>
          <w:b/>
          <w:bCs/>
          <w:color w:val="000000" w:themeColor="text1"/>
          <w:lang w:val="ro-RO" w:eastAsia="ro-MD"/>
        </w:rPr>
        <w:t>36.</w:t>
      </w:r>
      <w:r w:rsidR="0084652F" w:rsidRPr="002D468A">
        <w:rPr>
          <w:color w:val="000000" w:themeColor="text1"/>
          <w:lang w:val="ro-RO" w:eastAsia="ro-MD"/>
        </w:rPr>
        <w:t xml:space="preserve"> Băncile pot recurge la următoarele părți în calitate de furnizori eligibili de protecție nefinanțată a creditului:</w:t>
      </w:r>
    </w:p>
    <w:p w14:paraId="57C47A21" w14:textId="2351521B" w:rsidR="0084652F" w:rsidRPr="002D468A" w:rsidRDefault="0084652F" w:rsidP="0084652F">
      <w:pPr>
        <w:ind w:firstLine="567"/>
        <w:jc w:val="both"/>
        <w:rPr>
          <w:color w:val="000000" w:themeColor="text1"/>
          <w:lang w:val="ro-RO" w:eastAsia="ro-MD"/>
        </w:rPr>
      </w:pPr>
      <w:r w:rsidRPr="002D468A">
        <w:rPr>
          <w:color w:val="000000" w:themeColor="text1"/>
          <w:lang w:val="ro-RO" w:eastAsia="ro-MD"/>
        </w:rPr>
        <w:t xml:space="preserve">1) administrații centrale și bănci centrale, administrații regionale sau autorități locale, bănci de dezvoltare multilaterală, organizații internaționale, dacă expunerilor față de acestea </w:t>
      </w:r>
      <w:r w:rsidR="00874A2C" w:rsidRPr="002D468A">
        <w:rPr>
          <w:color w:val="000000" w:themeColor="text1"/>
          <w:lang w:val="ro-RO" w:eastAsia="ro-MD"/>
        </w:rPr>
        <w:t xml:space="preserve">li </w:t>
      </w:r>
      <w:r w:rsidRPr="002D468A">
        <w:rPr>
          <w:color w:val="000000" w:themeColor="text1"/>
          <w:lang w:val="ro-RO" w:eastAsia="ro-MD"/>
        </w:rPr>
        <w:t>se atribuie o pondere de risc de 0% în temeiul Regulamentului nr.111/2018;</w:t>
      </w:r>
    </w:p>
    <w:p w14:paraId="278E33B5" w14:textId="4DD793CC" w:rsidR="0084652F" w:rsidRPr="002D468A" w:rsidRDefault="0084652F" w:rsidP="0084652F">
      <w:pPr>
        <w:ind w:firstLine="567"/>
        <w:jc w:val="both"/>
        <w:rPr>
          <w:color w:val="000000" w:themeColor="text1"/>
          <w:lang w:val="ro-RO" w:eastAsia="ro-MD"/>
        </w:rPr>
      </w:pPr>
      <w:r w:rsidRPr="002D468A">
        <w:rPr>
          <w:color w:val="000000" w:themeColor="text1"/>
          <w:lang w:val="ro-RO" w:eastAsia="ro-MD"/>
        </w:rPr>
        <w:t>2) entități din sectorul public, tratate în conformitate cu Regulamentul nr.111/2018;</w:t>
      </w:r>
    </w:p>
    <w:p w14:paraId="156279ED" w14:textId="4B553295" w:rsidR="0084652F" w:rsidRPr="002D468A" w:rsidRDefault="0084652F" w:rsidP="0084652F">
      <w:pPr>
        <w:ind w:firstLine="567"/>
        <w:jc w:val="both"/>
        <w:rPr>
          <w:color w:val="000000" w:themeColor="text1"/>
          <w:lang w:val="ro-RO" w:eastAsia="ro-MD"/>
        </w:rPr>
      </w:pPr>
      <w:r w:rsidRPr="002D468A">
        <w:rPr>
          <w:color w:val="000000" w:themeColor="text1"/>
          <w:lang w:val="ro-RO" w:eastAsia="ro-MD"/>
        </w:rPr>
        <w:t xml:space="preserve">3) bănci și societăți financiare </w:t>
      </w:r>
      <w:proofErr w:type="spellStart"/>
      <w:r w:rsidRPr="002D468A">
        <w:rPr>
          <w:color w:val="000000" w:themeColor="text1"/>
          <w:lang w:val="ro-RO" w:eastAsia="ro-MD"/>
        </w:rPr>
        <w:t>nonbancare</w:t>
      </w:r>
      <w:proofErr w:type="spellEnd"/>
      <w:r w:rsidRPr="002D468A">
        <w:rPr>
          <w:color w:val="000000" w:themeColor="text1"/>
          <w:lang w:val="ro-RO" w:eastAsia="ro-MD"/>
        </w:rPr>
        <w:t xml:space="preserve"> </w:t>
      </w:r>
      <w:r w:rsidR="006B5F0E">
        <w:rPr>
          <w:color w:val="000000" w:themeColor="text1"/>
          <w:lang w:val="ro-RO" w:eastAsia="ro-MD"/>
        </w:rPr>
        <w:t xml:space="preserve">pentru </w:t>
      </w:r>
      <w:r w:rsidRPr="002D468A">
        <w:rPr>
          <w:color w:val="000000" w:themeColor="text1"/>
          <w:lang w:val="ro-RO" w:eastAsia="ro-MD"/>
        </w:rPr>
        <w:t xml:space="preserve">care </w:t>
      </w:r>
      <w:r w:rsidR="006B5F0E" w:rsidRPr="006B5F0E">
        <w:rPr>
          <w:color w:val="000000" w:themeColor="text1"/>
          <w:lang w:val="ro-RO" w:eastAsia="ro-MD"/>
        </w:rPr>
        <w:t xml:space="preserve">expunerile față de societatea financiară </w:t>
      </w:r>
      <w:proofErr w:type="spellStart"/>
      <w:r w:rsidR="006B5F0E" w:rsidRPr="006B5F0E">
        <w:rPr>
          <w:color w:val="000000" w:themeColor="text1"/>
          <w:lang w:val="ro-RO" w:eastAsia="ro-MD"/>
        </w:rPr>
        <w:t>nonbancară</w:t>
      </w:r>
      <w:proofErr w:type="spellEnd"/>
      <w:r w:rsidR="006B5F0E" w:rsidRPr="006B5F0E">
        <w:rPr>
          <w:color w:val="000000" w:themeColor="text1"/>
          <w:lang w:val="ro-RO" w:eastAsia="ro-MD"/>
        </w:rPr>
        <w:t xml:space="preserve"> </w:t>
      </w:r>
      <w:r w:rsidRPr="002D468A">
        <w:rPr>
          <w:color w:val="000000" w:themeColor="text1"/>
          <w:lang w:val="ro-RO" w:eastAsia="ro-MD"/>
        </w:rPr>
        <w:t>sunt tratate ca expuneri față de bănci, în conformitate cu Regulamentul nr.111/2018;</w:t>
      </w:r>
      <w:r w:rsidRPr="002D468A">
        <w:rPr>
          <w:color w:val="000000" w:themeColor="text1"/>
          <w:sz w:val="18"/>
          <w:szCs w:val="18"/>
          <w:lang w:val="ro-RO" w:eastAsia="ro-MD"/>
        </w:rPr>
        <w:t xml:space="preserve"> </w:t>
      </w:r>
    </w:p>
    <w:p w14:paraId="7DEC4466" w14:textId="1666852B" w:rsidR="0084652F" w:rsidRPr="002D468A" w:rsidRDefault="0084652F" w:rsidP="0084652F">
      <w:pPr>
        <w:ind w:firstLine="567"/>
        <w:jc w:val="both"/>
        <w:rPr>
          <w:color w:val="000000" w:themeColor="text1"/>
          <w:lang w:val="ro-RO" w:eastAsia="ro-MD"/>
        </w:rPr>
      </w:pPr>
      <w:r w:rsidRPr="002D468A">
        <w:rPr>
          <w:color w:val="000000" w:themeColor="text1"/>
          <w:lang w:val="ro-RO" w:eastAsia="ro-MD"/>
        </w:rPr>
        <w:t>4) entități reglementate din sectorul financiar, reprezentate de entități care fac obiectul unor cerințe prudențiale, în mod direct pe bază individuală sau consolidată sau indirect pe baza consolidării prudențiale a întreprinderii-mamă, în conformitate cu cadrul prudențial aferent băncilor, societăților de investiții și asigurătorilor/</w:t>
      </w:r>
      <w:proofErr w:type="spellStart"/>
      <w:r w:rsidRPr="002D468A">
        <w:rPr>
          <w:color w:val="000000" w:themeColor="text1"/>
          <w:lang w:val="ro-RO" w:eastAsia="ro-MD"/>
        </w:rPr>
        <w:t>reasigurătorilor</w:t>
      </w:r>
      <w:proofErr w:type="spellEnd"/>
      <w:r w:rsidRPr="002D468A">
        <w:rPr>
          <w:color w:val="000000" w:themeColor="text1"/>
          <w:lang w:val="ro-RO" w:eastAsia="ro-MD"/>
        </w:rPr>
        <w:t>, sau al cerințelor prudențiale legale ale unei țări terțe care sunt cel puțin echivalente cu cele aplicate în Republica Moldova conform anexei nr.5 la Regulamentul nr.111/2018;</w:t>
      </w:r>
    </w:p>
    <w:p w14:paraId="6C08EBF2" w14:textId="30EB91B9" w:rsidR="0084652F" w:rsidRPr="002D468A" w:rsidRDefault="0084652F" w:rsidP="0084652F">
      <w:pPr>
        <w:ind w:firstLine="567"/>
        <w:jc w:val="both"/>
        <w:rPr>
          <w:color w:val="000000" w:themeColor="text1"/>
          <w:lang w:val="ro-RO" w:eastAsia="ro-MD"/>
        </w:rPr>
      </w:pPr>
      <w:r w:rsidRPr="002D468A">
        <w:rPr>
          <w:color w:val="000000" w:themeColor="text1"/>
          <w:lang w:val="ro-RO" w:eastAsia="ro-MD"/>
        </w:rPr>
        <w:t xml:space="preserve">5) </w:t>
      </w:r>
      <w:proofErr w:type="spellStart"/>
      <w:r w:rsidRPr="002D468A">
        <w:rPr>
          <w:color w:val="000000" w:themeColor="text1"/>
          <w:lang w:val="ro-RO" w:eastAsia="ro-MD"/>
        </w:rPr>
        <w:t>contrapărțile</w:t>
      </w:r>
      <w:proofErr w:type="spellEnd"/>
      <w:r w:rsidRPr="002D468A">
        <w:rPr>
          <w:color w:val="000000" w:themeColor="text1"/>
          <w:lang w:val="ro-RO" w:eastAsia="ro-MD"/>
        </w:rPr>
        <w:t xml:space="preserve"> centrale calificate (CPCC);</w:t>
      </w:r>
    </w:p>
    <w:p w14:paraId="53E0DEA3" w14:textId="58423315" w:rsidR="00113164" w:rsidRPr="002D468A" w:rsidRDefault="0084652F" w:rsidP="0084652F">
      <w:pPr>
        <w:tabs>
          <w:tab w:val="left" w:pos="567"/>
        </w:tabs>
        <w:ind w:firstLine="567"/>
        <w:jc w:val="both"/>
        <w:rPr>
          <w:color w:val="000000" w:themeColor="text1"/>
          <w:lang w:val="ro-MD"/>
        </w:rPr>
      </w:pPr>
      <w:r w:rsidRPr="002D468A">
        <w:rPr>
          <w:color w:val="000000" w:themeColor="text1"/>
          <w:lang w:val="ro-RO" w:eastAsia="ro-MD"/>
        </w:rPr>
        <w:t>6) în cazul în care protecția creditului nu este furnizată pentru o expunere din securitizare, alte întreprinderi, care au o evaluare de credit efectuată de o ECAI desemnată, inclusiv întreprinderi-mamă, filiale sau entități afiliate debitorului, în cazul în care o expunere directă a întreprinderilor-mamă, a filialelor sau a entităților afiliate respective are o pondere de risc mai mică decât expunerea față de debitor.</w:t>
      </w:r>
      <w:r w:rsidR="00113164" w:rsidRPr="002D468A">
        <w:rPr>
          <w:color w:val="000000" w:themeColor="text1"/>
          <w:lang w:val="ro-MD"/>
        </w:rPr>
        <w:t>”.</w:t>
      </w:r>
    </w:p>
    <w:p w14:paraId="4C1340B9" w14:textId="4762A8BE" w:rsidR="002337D1" w:rsidRPr="002D468A" w:rsidRDefault="00F2028C" w:rsidP="00DD1675">
      <w:pPr>
        <w:pStyle w:val="ListParagraph"/>
        <w:numPr>
          <w:ilvl w:val="1"/>
          <w:numId w:val="27"/>
        </w:numPr>
        <w:tabs>
          <w:tab w:val="left" w:pos="567"/>
        </w:tabs>
        <w:spacing w:before="80"/>
        <w:ind w:left="0" w:firstLine="567"/>
        <w:jc w:val="both"/>
        <w:rPr>
          <w:color w:val="000000" w:themeColor="text1"/>
          <w:lang w:val="ro-MD"/>
        </w:rPr>
      </w:pPr>
      <w:r w:rsidRPr="002D468A">
        <w:rPr>
          <w:color w:val="000000" w:themeColor="text1"/>
          <w:lang w:val="ro-MD"/>
        </w:rPr>
        <w:t>S</w:t>
      </w:r>
      <w:r w:rsidR="00113164" w:rsidRPr="002D468A">
        <w:rPr>
          <w:color w:val="000000" w:themeColor="text1"/>
          <w:lang w:val="ro-MD"/>
        </w:rPr>
        <w:t xml:space="preserve">e completează </w:t>
      </w:r>
      <w:r w:rsidRPr="002D468A">
        <w:rPr>
          <w:color w:val="000000" w:themeColor="text1"/>
          <w:lang w:val="ro-MD"/>
        </w:rPr>
        <w:t>cu punct</w:t>
      </w:r>
      <w:r w:rsidR="0084652F" w:rsidRPr="002D468A">
        <w:rPr>
          <w:color w:val="000000" w:themeColor="text1"/>
          <w:lang w:val="ro-MD"/>
        </w:rPr>
        <w:t>ul</w:t>
      </w:r>
      <w:r w:rsidRPr="002D468A">
        <w:rPr>
          <w:color w:val="000000" w:themeColor="text1"/>
          <w:lang w:val="ro-MD"/>
        </w:rPr>
        <w:t xml:space="preserve"> </w:t>
      </w:r>
      <w:r w:rsidR="0084652F" w:rsidRPr="002D468A">
        <w:rPr>
          <w:color w:val="000000" w:themeColor="text1"/>
          <w:lang w:val="ro-MD"/>
        </w:rPr>
        <w:t>36</w:t>
      </w:r>
      <w:r w:rsidRPr="002D468A">
        <w:rPr>
          <w:color w:val="000000" w:themeColor="text1"/>
          <w:vertAlign w:val="superscript"/>
          <w:lang w:val="ro-MD"/>
        </w:rPr>
        <w:t>1</w:t>
      </w:r>
      <w:r w:rsidR="0099001D" w:rsidRPr="002D468A">
        <w:rPr>
          <w:color w:val="000000" w:themeColor="text1"/>
          <w:lang w:val="ro-MD"/>
        </w:rPr>
        <w:t xml:space="preserve"> </w:t>
      </w:r>
      <w:r w:rsidRPr="002D468A">
        <w:rPr>
          <w:color w:val="000000" w:themeColor="text1"/>
          <w:lang w:val="ro-MD"/>
        </w:rPr>
        <w:t>cu următorul cuprins:</w:t>
      </w:r>
    </w:p>
    <w:p w14:paraId="5125E4A3" w14:textId="69F86DD9" w:rsidR="00F2028C" w:rsidRPr="002D468A" w:rsidRDefault="0084652F" w:rsidP="0099001D">
      <w:pPr>
        <w:jc w:val="both"/>
        <w:rPr>
          <w:color w:val="000000" w:themeColor="text1"/>
          <w:lang w:val="ro-MD"/>
        </w:rPr>
      </w:pPr>
      <w:r w:rsidRPr="002D468A">
        <w:rPr>
          <w:b/>
          <w:bCs/>
          <w:color w:val="000000" w:themeColor="text1"/>
          <w:lang w:val="ro-RO" w:eastAsia="ro-MD"/>
        </w:rPr>
        <w:t>„36</w:t>
      </w:r>
      <w:r w:rsidRPr="002D468A">
        <w:rPr>
          <w:b/>
          <w:bCs/>
          <w:color w:val="000000" w:themeColor="text1"/>
          <w:vertAlign w:val="superscript"/>
          <w:lang w:val="ro-RO" w:eastAsia="ro-MD"/>
        </w:rPr>
        <w:t>1</w:t>
      </w:r>
      <w:r w:rsidRPr="002D468A">
        <w:rPr>
          <w:b/>
          <w:bCs/>
          <w:color w:val="000000" w:themeColor="text1"/>
          <w:lang w:val="ro-RO" w:eastAsia="ro-MD"/>
        </w:rPr>
        <w:t>.</w:t>
      </w:r>
      <w:r w:rsidRPr="002D468A">
        <w:rPr>
          <w:color w:val="000000" w:themeColor="text1"/>
          <w:lang w:val="ro-RO" w:eastAsia="ro-MD"/>
        </w:rPr>
        <w:t xml:space="preserve"> Pe lângă furnizorii de protecție enumerați la punctul 36, entităților cărora băncile le acordă un rating intern în conformitate cu cerințele pentru utilizarea abordării IRB sunt furnizori eligibili de protecție nefinanțată a creditului în cazul în care banca utilizează abordarea IRB în cazul expunerilor față de respectivele entități.”.</w:t>
      </w:r>
    </w:p>
    <w:p w14:paraId="14F84F70" w14:textId="2EFF7ED4" w:rsidR="006F7A35" w:rsidRPr="002D468A" w:rsidRDefault="006F7A35" w:rsidP="00DD1675">
      <w:pPr>
        <w:pStyle w:val="ListParagraph"/>
        <w:numPr>
          <w:ilvl w:val="1"/>
          <w:numId w:val="27"/>
        </w:numPr>
        <w:tabs>
          <w:tab w:val="left" w:pos="567"/>
        </w:tabs>
        <w:spacing w:before="80"/>
        <w:ind w:left="0" w:firstLine="567"/>
        <w:contextualSpacing w:val="0"/>
        <w:jc w:val="both"/>
        <w:rPr>
          <w:color w:val="000000" w:themeColor="text1"/>
          <w:lang w:val="ro-MD"/>
        </w:rPr>
      </w:pPr>
      <w:r w:rsidRPr="002D468A">
        <w:rPr>
          <w:color w:val="000000" w:themeColor="text1"/>
          <w:lang w:val="ro-MD"/>
        </w:rPr>
        <w:t xml:space="preserve">La punctul </w:t>
      </w:r>
      <w:r w:rsidR="002E4851" w:rsidRPr="002D468A">
        <w:rPr>
          <w:color w:val="000000" w:themeColor="text1"/>
          <w:lang w:val="ro-MD"/>
        </w:rPr>
        <w:t>41</w:t>
      </w:r>
      <w:r w:rsidRPr="002D468A">
        <w:rPr>
          <w:color w:val="000000" w:themeColor="text1"/>
          <w:lang w:val="ro-MD"/>
        </w:rPr>
        <w:t xml:space="preserve"> </w:t>
      </w:r>
      <w:r w:rsidR="002E4851" w:rsidRPr="002D468A">
        <w:rPr>
          <w:color w:val="000000" w:themeColor="text1"/>
          <w:lang w:val="ro-MD"/>
        </w:rPr>
        <w:t xml:space="preserve">textul </w:t>
      </w:r>
      <w:r w:rsidR="008A6BD9" w:rsidRPr="002D468A">
        <w:rPr>
          <w:color w:val="000000" w:themeColor="text1"/>
          <w:lang w:val="ro-MD"/>
        </w:rPr>
        <w:t>„</w:t>
      </w:r>
      <w:r w:rsidR="002E4851" w:rsidRPr="002D468A">
        <w:rPr>
          <w:color w:val="000000" w:themeColor="text1"/>
          <w:lang w:val="ro-RO" w:eastAsia="ro-MD"/>
        </w:rPr>
        <w:t>VI</w:t>
      </w:r>
      <w:r w:rsidR="00247177" w:rsidRPr="002D468A">
        <w:rPr>
          <w:color w:val="000000" w:themeColor="text1"/>
          <w:lang w:val="ro-RO" w:eastAsia="ro-MD"/>
        </w:rPr>
        <w:t>” se substituie cu textul „V”, iar după cuvintele</w:t>
      </w:r>
      <w:r w:rsidR="002E4851" w:rsidRPr="002D468A">
        <w:rPr>
          <w:color w:val="000000" w:themeColor="text1"/>
          <w:lang w:val="ro-RO" w:eastAsia="ro-MD"/>
        </w:rPr>
        <w:t xml:space="preserve"> </w:t>
      </w:r>
      <w:r w:rsidR="00247177" w:rsidRPr="002D468A">
        <w:rPr>
          <w:color w:val="000000" w:themeColor="text1"/>
          <w:lang w:val="ro-RO" w:eastAsia="ro-MD"/>
        </w:rPr>
        <w:t>„</w:t>
      </w:r>
      <w:r w:rsidR="002E4851" w:rsidRPr="002D468A">
        <w:rPr>
          <w:color w:val="000000" w:themeColor="text1"/>
          <w:lang w:val="ro-RO" w:eastAsia="ro-MD"/>
        </w:rPr>
        <w:t>ale expunerilor</w:t>
      </w:r>
      <w:r w:rsidR="008A6BD9" w:rsidRPr="002D468A">
        <w:rPr>
          <w:color w:val="000000" w:themeColor="text1"/>
          <w:lang w:val="ro-MD"/>
        </w:rPr>
        <w:t>”</w:t>
      </w:r>
      <w:r w:rsidRPr="002D468A">
        <w:rPr>
          <w:color w:val="000000" w:themeColor="text1"/>
          <w:lang w:val="ro-MD"/>
        </w:rPr>
        <w:t xml:space="preserve"> se </w:t>
      </w:r>
      <w:r w:rsidR="00247177" w:rsidRPr="002D468A">
        <w:rPr>
          <w:color w:val="000000" w:themeColor="text1"/>
          <w:lang w:val="ro-MD"/>
        </w:rPr>
        <w:t xml:space="preserve">completează </w:t>
      </w:r>
      <w:r w:rsidRPr="002D468A">
        <w:rPr>
          <w:color w:val="000000" w:themeColor="text1"/>
          <w:lang w:val="ro-MD"/>
        </w:rPr>
        <w:t xml:space="preserve">cu </w:t>
      </w:r>
      <w:r w:rsidR="00247177" w:rsidRPr="002D468A">
        <w:rPr>
          <w:color w:val="000000" w:themeColor="text1"/>
          <w:lang w:val="ro-MD"/>
        </w:rPr>
        <w:t xml:space="preserve">cuvintele </w:t>
      </w:r>
      <w:r w:rsidRPr="002D468A">
        <w:rPr>
          <w:color w:val="000000" w:themeColor="text1"/>
          <w:lang w:val="ro-MD"/>
        </w:rPr>
        <w:t>„</w:t>
      </w:r>
      <w:r w:rsidR="002E4851" w:rsidRPr="002D468A">
        <w:rPr>
          <w:color w:val="000000" w:themeColor="text1"/>
          <w:lang w:val="ro-MD"/>
        </w:rPr>
        <w:t>și al cuantumurilor pierderilor așteptate</w:t>
      </w:r>
      <w:r w:rsidRPr="002D468A">
        <w:rPr>
          <w:color w:val="000000" w:themeColor="text1"/>
          <w:lang w:val="ro-MD"/>
        </w:rPr>
        <w:t>”.</w:t>
      </w:r>
    </w:p>
    <w:p w14:paraId="69184BDE" w14:textId="31C8DE0F" w:rsidR="00E73142" w:rsidRPr="002D468A" w:rsidRDefault="00D17481" w:rsidP="00DD1675">
      <w:pPr>
        <w:pStyle w:val="ListParagraph"/>
        <w:numPr>
          <w:ilvl w:val="1"/>
          <w:numId w:val="27"/>
        </w:numPr>
        <w:tabs>
          <w:tab w:val="left" w:pos="567"/>
        </w:tabs>
        <w:spacing w:before="80"/>
        <w:ind w:left="0" w:firstLine="567"/>
        <w:contextualSpacing w:val="0"/>
        <w:jc w:val="both"/>
        <w:rPr>
          <w:color w:val="000000" w:themeColor="text1"/>
          <w:lang w:val="ro-MD"/>
        </w:rPr>
      </w:pPr>
      <w:r w:rsidRPr="002D468A">
        <w:rPr>
          <w:color w:val="000000" w:themeColor="text1"/>
          <w:lang w:val="ro-MD"/>
        </w:rPr>
        <w:t>Capitolul V s</w:t>
      </w:r>
      <w:r w:rsidR="00E73142" w:rsidRPr="002D468A">
        <w:rPr>
          <w:color w:val="000000" w:themeColor="text1"/>
          <w:lang w:val="ro-MD"/>
        </w:rPr>
        <w:t>e completează cu punctul 41</w:t>
      </w:r>
      <w:r w:rsidR="00BB299A" w:rsidRPr="002D468A">
        <w:rPr>
          <w:color w:val="000000" w:themeColor="text1"/>
          <w:vertAlign w:val="superscript"/>
          <w:lang w:val="ro-MD"/>
        </w:rPr>
        <w:t>1</w:t>
      </w:r>
      <w:r w:rsidR="00E73142" w:rsidRPr="002D468A">
        <w:rPr>
          <w:color w:val="000000" w:themeColor="text1"/>
          <w:lang w:val="ro-MD"/>
        </w:rPr>
        <w:t xml:space="preserve"> cu următorul cuprins:</w:t>
      </w:r>
    </w:p>
    <w:p w14:paraId="369998B9" w14:textId="1C3712C9" w:rsidR="00D752A5" w:rsidRPr="002D468A" w:rsidRDefault="00E73142" w:rsidP="00E73142">
      <w:pPr>
        <w:tabs>
          <w:tab w:val="left" w:pos="567"/>
        </w:tabs>
        <w:jc w:val="both"/>
        <w:rPr>
          <w:color w:val="000000" w:themeColor="text1"/>
          <w:lang w:val="ro-MD"/>
        </w:rPr>
      </w:pPr>
      <w:r w:rsidRPr="002D468A">
        <w:rPr>
          <w:color w:val="000000" w:themeColor="text1"/>
          <w:lang w:val="ro-MD"/>
        </w:rPr>
        <w:t xml:space="preserve">„ </w:t>
      </w:r>
      <w:r w:rsidRPr="002D468A">
        <w:rPr>
          <w:b/>
          <w:bCs/>
          <w:color w:val="000000" w:themeColor="text1"/>
          <w:lang w:val="ro-RO" w:eastAsia="ro-MD"/>
        </w:rPr>
        <w:t>41</w:t>
      </w:r>
      <w:r w:rsidRPr="002D468A">
        <w:rPr>
          <w:b/>
          <w:bCs/>
          <w:color w:val="000000" w:themeColor="text1"/>
          <w:vertAlign w:val="superscript"/>
          <w:lang w:val="ro-RO" w:eastAsia="ro-MD"/>
        </w:rPr>
        <w:t>1</w:t>
      </w:r>
      <w:r w:rsidRPr="002D468A">
        <w:rPr>
          <w:b/>
          <w:bCs/>
          <w:color w:val="000000" w:themeColor="text1"/>
          <w:lang w:val="ro-RO" w:eastAsia="ro-MD"/>
        </w:rPr>
        <w:t>.</w:t>
      </w:r>
      <w:r w:rsidRPr="002D468A">
        <w:rPr>
          <w:color w:val="000000" w:themeColor="text1"/>
          <w:lang w:val="ro-RO" w:eastAsia="ro-MD"/>
        </w:rPr>
        <w:t xml:space="preserve"> Instrumentele financiare derivate de credit de tipul </w:t>
      </w:r>
      <w:proofErr w:type="spellStart"/>
      <w:r w:rsidRPr="002D468A">
        <w:rPr>
          <w:color w:val="000000" w:themeColor="text1"/>
          <w:lang w:val="ro-RO" w:eastAsia="ro-MD"/>
        </w:rPr>
        <w:t>first-to-default</w:t>
      </w:r>
      <w:proofErr w:type="spellEnd"/>
      <w:r w:rsidRPr="002D468A">
        <w:rPr>
          <w:color w:val="000000" w:themeColor="text1"/>
          <w:lang w:val="ro-RO" w:eastAsia="ro-MD"/>
        </w:rPr>
        <w:t xml:space="preserve"> și toate celelalte instrumente financiare derivate de credit de tipul </w:t>
      </w:r>
      <w:proofErr w:type="spellStart"/>
      <w:r w:rsidRPr="002D468A">
        <w:rPr>
          <w:color w:val="000000" w:themeColor="text1"/>
          <w:lang w:val="ro-RO" w:eastAsia="ro-MD"/>
        </w:rPr>
        <w:t>nth-to-default</w:t>
      </w:r>
      <w:proofErr w:type="spellEnd"/>
      <w:r w:rsidRPr="002D468A">
        <w:rPr>
          <w:color w:val="000000" w:themeColor="text1"/>
          <w:lang w:val="ro-RO" w:eastAsia="ro-MD"/>
        </w:rPr>
        <w:t xml:space="preserve"> nu sunt tipuri eligibile de protecție nefinanțată a creditului.”</w:t>
      </w:r>
      <w:r w:rsidR="00250DDE" w:rsidRPr="002D468A">
        <w:rPr>
          <w:color w:val="000000" w:themeColor="text1"/>
          <w:lang w:val="ro-MD"/>
        </w:rPr>
        <w:t>.</w:t>
      </w:r>
    </w:p>
    <w:p w14:paraId="11B198CE" w14:textId="6A46C014" w:rsidR="006802B5" w:rsidRPr="002D468A" w:rsidRDefault="000D166D" w:rsidP="00DD1675">
      <w:pPr>
        <w:pStyle w:val="ListParagraph"/>
        <w:numPr>
          <w:ilvl w:val="1"/>
          <w:numId w:val="27"/>
        </w:numPr>
        <w:tabs>
          <w:tab w:val="left" w:pos="567"/>
        </w:tabs>
        <w:spacing w:before="80"/>
        <w:ind w:left="0" w:firstLine="567"/>
        <w:jc w:val="both"/>
        <w:rPr>
          <w:color w:val="000000" w:themeColor="text1"/>
          <w:lang w:val="ro-MD"/>
        </w:rPr>
      </w:pPr>
      <w:r w:rsidRPr="002D468A">
        <w:rPr>
          <w:color w:val="000000" w:themeColor="text1"/>
          <w:lang w:val="ro-MD"/>
        </w:rPr>
        <w:t xml:space="preserve">Se completează cu </w:t>
      </w:r>
      <w:r w:rsidR="00BB299A" w:rsidRPr="002D468A">
        <w:rPr>
          <w:color w:val="000000" w:themeColor="text1"/>
          <w:lang w:val="ro-MD"/>
        </w:rPr>
        <w:t>capitolul V</w:t>
      </w:r>
      <w:r w:rsidRPr="002D468A">
        <w:rPr>
          <w:color w:val="000000" w:themeColor="text1"/>
          <w:vertAlign w:val="superscript"/>
          <w:lang w:val="ro-MD"/>
        </w:rPr>
        <w:t>1</w:t>
      </w:r>
      <w:r w:rsidR="00433F1F" w:rsidRPr="002D468A">
        <w:rPr>
          <w:color w:val="000000" w:themeColor="text1"/>
          <w:lang w:val="ro-MD"/>
        </w:rPr>
        <w:t xml:space="preserve"> </w:t>
      </w:r>
      <w:r w:rsidRPr="002D468A">
        <w:rPr>
          <w:color w:val="000000" w:themeColor="text1"/>
          <w:lang w:val="ro-MD"/>
        </w:rPr>
        <w:t>cu</w:t>
      </w:r>
      <w:r w:rsidR="00433F1F" w:rsidRPr="002D468A">
        <w:rPr>
          <w:color w:val="000000" w:themeColor="text1"/>
          <w:lang w:val="ro-MD"/>
        </w:rPr>
        <w:t xml:space="preserve"> următorul cuprins:</w:t>
      </w:r>
    </w:p>
    <w:p w14:paraId="2DDB6C36" w14:textId="77777777" w:rsidR="00BB299A" w:rsidRPr="002D468A" w:rsidRDefault="00433F1F" w:rsidP="00BB299A">
      <w:pPr>
        <w:jc w:val="center"/>
        <w:rPr>
          <w:b/>
          <w:bCs/>
          <w:color w:val="000000" w:themeColor="text1"/>
          <w:lang w:val="ro-RO" w:eastAsia="ro-MD"/>
        </w:rPr>
      </w:pPr>
      <w:r w:rsidRPr="002D468A">
        <w:rPr>
          <w:color w:val="000000" w:themeColor="text1"/>
          <w:lang w:val="ro-MD"/>
        </w:rPr>
        <w:t>„</w:t>
      </w:r>
      <w:r w:rsidR="00BB299A" w:rsidRPr="002D468A">
        <w:rPr>
          <w:b/>
          <w:bCs/>
          <w:color w:val="000000" w:themeColor="text1"/>
          <w:lang w:val="ro-RO" w:eastAsia="ro-MD"/>
        </w:rPr>
        <w:t>Capitolul V</w:t>
      </w:r>
      <w:r w:rsidR="00BB299A" w:rsidRPr="002D468A">
        <w:rPr>
          <w:b/>
          <w:bCs/>
          <w:color w:val="000000" w:themeColor="text1"/>
          <w:vertAlign w:val="superscript"/>
          <w:lang w:val="ro-RO" w:eastAsia="ro-MD"/>
        </w:rPr>
        <w:t>1</w:t>
      </w:r>
    </w:p>
    <w:p w14:paraId="55D32690" w14:textId="77777777" w:rsidR="00BB299A" w:rsidRPr="002D468A" w:rsidRDefault="00BB299A" w:rsidP="00BB299A">
      <w:pPr>
        <w:jc w:val="center"/>
        <w:rPr>
          <w:b/>
          <w:bCs/>
          <w:color w:val="000000" w:themeColor="text1"/>
          <w:lang w:val="ro-RO" w:eastAsia="ro-MD"/>
        </w:rPr>
      </w:pPr>
      <w:r w:rsidRPr="002D468A">
        <w:rPr>
          <w:b/>
          <w:bCs/>
          <w:color w:val="000000" w:themeColor="text1"/>
          <w:lang w:val="ro-RO" w:eastAsia="ro-MD"/>
        </w:rPr>
        <w:t> TIPURI ELIGIBILE DE INSTRUMENTE</w:t>
      </w:r>
    </w:p>
    <w:p w14:paraId="207B3F13" w14:textId="77777777" w:rsidR="00BB299A" w:rsidRPr="002D468A" w:rsidRDefault="00BB299A" w:rsidP="00BB299A">
      <w:pPr>
        <w:jc w:val="center"/>
        <w:rPr>
          <w:b/>
          <w:bCs/>
          <w:color w:val="000000" w:themeColor="text1"/>
          <w:lang w:val="ro-RO" w:eastAsia="ro-MD"/>
        </w:rPr>
      </w:pPr>
      <w:r w:rsidRPr="002D468A">
        <w:rPr>
          <w:b/>
          <w:bCs/>
          <w:color w:val="000000" w:themeColor="text1"/>
          <w:lang w:val="ro-RO" w:eastAsia="ro-MD"/>
        </w:rPr>
        <w:t>FINANCIARE DERIVATE PE TITLURI DE CAPITAL</w:t>
      </w:r>
    </w:p>
    <w:p w14:paraId="332F90CC" w14:textId="45010950" w:rsidR="00BB299A" w:rsidRPr="002D468A" w:rsidRDefault="00BB299A" w:rsidP="00BB299A">
      <w:pPr>
        <w:jc w:val="both"/>
        <w:rPr>
          <w:color w:val="000000" w:themeColor="text1"/>
          <w:lang w:val="ro-RO" w:eastAsia="ro-MD"/>
        </w:rPr>
      </w:pPr>
      <w:r w:rsidRPr="002D468A">
        <w:rPr>
          <w:b/>
          <w:bCs/>
          <w:color w:val="000000" w:themeColor="text1"/>
          <w:lang w:val="ro-RO" w:eastAsia="ro-MD"/>
        </w:rPr>
        <w:lastRenderedPageBreak/>
        <w:t>41</w:t>
      </w:r>
      <w:r w:rsidRPr="002D468A">
        <w:rPr>
          <w:b/>
          <w:bCs/>
          <w:color w:val="000000" w:themeColor="text1"/>
          <w:vertAlign w:val="superscript"/>
          <w:lang w:val="ro-RO" w:eastAsia="ro-MD"/>
        </w:rPr>
        <w:t>2</w:t>
      </w:r>
      <w:r w:rsidRPr="002D468A">
        <w:rPr>
          <w:b/>
          <w:bCs/>
          <w:color w:val="000000" w:themeColor="text1"/>
          <w:lang w:val="ro-RO" w:eastAsia="ro-MD"/>
        </w:rPr>
        <w:t>.</w:t>
      </w:r>
      <w:r w:rsidRPr="002D468A">
        <w:rPr>
          <w:color w:val="000000" w:themeColor="text1"/>
          <w:lang w:val="ro-RO" w:eastAsia="ro-MD"/>
        </w:rPr>
        <w:t xml:space="preserve"> Băncile pot utiliza ca protecție a creditului eligibilă instrumente financiare derivate pe titluri de capital care sunt instrumente de tipul total </w:t>
      </w:r>
      <w:proofErr w:type="spellStart"/>
      <w:r w:rsidRPr="002D468A">
        <w:rPr>
          <w:color w:val="000000" w:themeColor="text1"/>
          <w:lang w:val="ro-RO" w:eastAsia="ro-MD"/>
        </w:rPr>
        <w:t>return</w:t>
      </w:r>
      <w:proofErr w:type="spellEnd"/>
      <w:r w:rsidRPr="002D468A">
        <w:rPr>
          <w:color w:val="000000" w:themeColor="text1"/>
          <w:lang w:val="ro-RO" w:eastAsia="ro-MD"/>
        </w:rPr>
        <w:t xml:space="preserve"> </w:t>
      </w:r>
      <w:proofErr w:type="spellStart"/>
      <w:r w:rsidRPr="002D468A">
        <w:rPr>
          <w:color w:val="000000" w:themeColor="text1"/>
          <w:lang w:val="ro-RO" w:eastAsia="ro-MD"/>
        </w:rPr>
        <w:t>swap</w:t>
      </w:r>
      <w:proofErr w:type="spellEnd"/>
      <w:r w:rsidRPr="002D468A">
        <w:rPr>
          <w:color w:val="000000" w:themeColor="text1"/>
          <w:lang w:val="ro-RO" w:eastAsia="ro-MD"/>
        </w:rPr>
        <w:t xml:space="preserve"> sau care sunt efectiv similare din punct de vedere economic, dar numai în scopul efectuării de acoperiri interne.</w:t>
      </w:r>
    </w:p>
    <w:p w14:paraId="42D2B43B" w14:textId="45542B3D" w:rsidR="00BB299A" w:rsidRPr="002D468A" w:rsidRDefault="00BB299A" w:rsidP="00BB299A">
      <w:pPr>
        <w:jc w:val="both"/>
        <w:rPr>
          <w:color w:val="000000" w:themeColor="text1"/>
          <w:lang w:val="ro-RO" w:eastAsia="ro-MD"/>
        </w:rPr>
      </w:pPr>
      <w:r w:rsidRPr="002D468A">
        <w:rPr>
          <w:b/>
          <w:bCs/>
          <w:color w:val="000000" w:themeColor="text1"/>
          <w:lang w:val="ro-RO" w:eastAsia="ro-MD"/>
        </w:rPr>
        <w:t>41</w:t>
      </w:r>
      <w:r w:rsidRPr="002D468A">
        <w:rPr>
          <w:b/>
          <w:bCs/>
          <w:color w:val="000000" w:themeColor="text1"/>
          <w:vertAlign w:val="superscript"/>
          <w:lang w:val="ro-RO" w:eastAsia="ro-MD"/>
        </w:rPr>
        <w:t>3</w:t>
      </w:r>
      <w:r w:rsidRPr="002D468A">
        <w:rPr>
          <w:b/>
          <w:bCs/>
          <w:color w:val="000000" w:themeColor="text1"/>
          <w:lang w:val="ro-RO" w:eastAsia="ro-MD"/>
        </w:rPr>
        <w:t>.</w:t>
      </w:r>
      <w:r w:rsidRPr="002D468A">
        <w:rPr>
          <w:color w:val="000000" w:themeColor="text1"/>
          <w:lang w:val="ro-RO" w:eastAsia="ro-MD"/>
        </w:rPr>
        <w:t xml:space="preserve"> În cazul în care o bancă cumpără protecția creditului prin intermediul unui instrument de tipul total </w:t>
      </w:r>
      <w:proofErr w:type="spellStart"/>
      <w:r w:rsidRPr="002D468A">
        <w:rPr>
          <w:color w:val="000000" w:themeColor="text1"/>
          <w:lang w:val="ro-RO" w:eastAsia="ro-MD"/>
        </w:rPr>
        <w:t>return</w:t>
      </w:r>
      <w:proofErr w:type="spellEnd"/>
      <w:r w:rsidRPr="002D468A">
        <w:rPr>
          <w:color w:val="000000" w:themeColor="text1"/>
          <w:lang w:val="ro-RO" w:eastAsia="ro-MD"/>
        </w:rPr>
        <w:t xml:space="preserve"> </w:t>
      </w:r>
      <w:proofErr w:type="spellStart"/>
      <w:r w:rsidRPr="002D468A">
        <w:rPr>
          <w:color w:val="000000" w:themeColor="text1"/>
          <w:lang w:val="ro-RO" w:eastAsia="ro-MD"/>
        </w:rPr>
        <w:t>swap</w:t>
      </w:r>
      <w:proofErr w:type="spellEnd"/>
      <w:r w:rsidRPr="002D468A">
        <w:rPr>
          <w:color w:val="000000" w:themeColor="text1"/>
          <w:lang w:val="ro-RO" w:eastAsia="ro-MD"/>
        </w:rPr>
        <w:t xml:space="preserve"> și înregistrează plățile nete primite aferente </w:t>
      </w:r>
      <w:proofErr w:type="spellStart"/>
      <w:r w:rsidRPr="002D468A">
        <w:rPr>
          <w:color w:val="000000" w:themeColor="text1"/>
          <w:lang w:val="ro-RO" w:eastAsia="ro-MD"/>
        </w:rPr>
        <w:t>swapului</w:t>
      </w:r>
      <w:proofErr w:type="spellEnd"/>
      <w:r w:rsidRPr="002D468A">
        <w:rPr>
          <w:color w:val="000000" w:themeColor="text1"/>
          <w:lang w:val="ro-RO" w:eastAsia="ro-MD"/>
        </w:rPr>
        <w:t xml:space="preserve"> ca venit net, dar nu înregistrează deteriorarea corespunzătoare a valorii activului protejat, fie prin reducerea valorii juste, fie prin suplimentarea rezervelor, protecția respectivă a creditului nu se califică drept protecție a creditului eligibilă.</w:t>
      </w:r>
    </w:p>
    <w:p w14:paraId="7D04EAED" w14:textId="358EB685" w:rsidR="00BB299A" w:rsidRPr="002D468A" w:rsidRDefault="00BB299A" w:rsidP="00BB299A">
      <w:pPr>
        <w:jc w:val="both"/>
        <w:rPr>
          <w:color w:val="000000" w:themeColor="text1"/>
          <w:lang w:val="ro-RO" w:eastAsia="ro-MD"/>
        </w:rPr>
      </w:pPr>
      <w:r w:rsidRPr="002D468A">
        <w:rPr>
          <w:b/>
          <w:bCs/>
          <w:color w:val="000000" w:themeColor="text1"/>
          <w:lang w:val="ro-RO" w:eastAsia="ro-MD"/>
        </w:rPr>
        <w:t>41</w:t>
      </w:r>
      <w:r w:rsidRPr="002D468A">
        <w:rPr>
          <w:b/>
          <w:bCs/>
          <w:color w:val="000000" w:themeColor="text1"/>
          <w:vertAlign w:val="superscript"/>
          <w:lang w:val="ro-RO" w:eastAsia="ro-MD"/>
        </w:rPr>
        <w:t>4</w:t>
      </w:r>
      <w:r w:rsidRPr="002D468A">
        <w:rPr>
          <w:b/>
          <w:bCs/>
          <w:color w:val="000000" w:themeColor="text1"/>
          <w:lang w:val="ro-RO" w:eastAsia="ro-MD"/>
        </w:rPr>
        <w:t>.</w:t>
      </w:r>
      <w:r w:rsidRPr="002D468A">
        <w:rPr>
          <w:color w:val="000000" w:themeColor="text1"/>
          <w:lang w:val="ro-RO" w:eastAsia="ro-MD"/>
        </w:rPr>
        <w:t xml:space="preserve"> Dacă o bancă efectuează o acoperire internă a riscului utilizând un instrument financiar derivat pe titluri de capital, pentru ca acoperirea internă să se califice drept protecție a creditului eligibilă, riscul de credit transferat în portofoliul de tranzacționare este transferat în exterior uneia sau mai multor părți terțe.</w:t>
      </w:r>
    </w:p>
    <w:p w14:paraId="11146609" w14:textId="7A48D375" w:rsidR="00433F1F" w:rsidRPr="002D468A" w:rsidRDefault="00BB299A" w:rsidP="003F15A0">
      <w:pPr>
        <w:ind w:firstLine="567"/>
        <w:jc w:val="both"/>
        <w:rPr>
          <w:color w:val="000000" w:themeColor="text1"/>
          <w:lang w:val="ro-MD"/>
        </w:rPr>
      </w:pPr>
      <w:r w:rsidRPr="002D468A">
        <w:rPr>
          <w:b/>
          <w:bCs/>
          <w:color w:val="000000" w:themeColor="text1"/>
          <w:lang w:val="ro-RO" w:eastAsia="ro-MD"/>
        </w:rPr>
        <w:t>41</w:t>
      </w:r>
      <w:r w:rsidRPr="002D468A">
        <w:rPr>
          <w:b/>
          <w:bCs/>
          <w:color w:val="000000" w:themeColor="text1"/>
          <w:vertAlign w:val="superscript"/>
          <w:lang w:val="ro-RO" w:eastAsia="ro-MD"/>
        </w:rPr>
        <w:t>5</w:t>
      </w:r>
      <w:r w:rsidRPr="002D468A">
        <w:rPr>
          <w:b/>
          <w:bCs/>
          <w:color w:val="000000" w:themeColor="text1"/>
          <w:lang w:val="ro-RO" w:eastAsia="ro-MD"/>
        </w:rPr>
        <w:t>.</w:t>
      </w:r>
      <w:r w:rsidRPr="002D468A">
        <w:rPr>
          <w:color w:val="000000" w:themeColor="text1"/>
          <w:lang w:val="ro-RO" w:eastAsia="ro-MD"/>
        </w:rPr>
        <w:t xml:space="preserve"> Dacă s-a efectuat o acoperire internă a riscului în conformitate cu punctul 41</w:t>
      </w:r>
      <w:r w:rsidRPr="002D468A">
        <w:rPr>
          <w:color w:val="000000" w:themeColor="text1"/>
          <w:vertAlign w:val="superscript"/>
          <w:lang w:val="ro-RO" w:eastAsia="ro-MD"/>
        </w:rPr>
        <w:t>4</w:t>
      </w:r>
      <w:r w:rsidRPr="002D468A">
        <w:rPr>
          <w:color w:val="000000" w:themeColor="text1"/>
          <w:lang w:val="ro-RO" w:eastAsia="ro-MD"/>
        </w:rPr>
        <w:t>, iar cerințele prevăzute în prezentul regulament au fost îndeplinite, băncile aplică regulile stabilite în titlurile IV – V la calculul valorilor expunerilor ponderate la risc și al cuantumurilor pierderilor așteptate în cazul în care cumpără o protecție nefinanțată a creditului.</w:t>
      </w:r>
      <w:r w:rsidR="00433F1F" w:rsidRPr="002D468A">
        <w:rPr>
          <w:color w:val="000000" w:themeColor="text1"/>
          <w:lang w:val="ro-MD"/>
        </w:rPr>
        <w:t>”.</w:t>
      </w:r>
    </w:p>
    <w:p w14:paraId="609F9E6C" w14:textId="5F0E03F3" w:rsidR="000D166D" w:rsidRPr="002D468A" w:rsidRDefault="000D166D" w:rsidP="003F15A0">
      <w:pPr>
        <w:pStyle w:val="ListParagraph"/>
        <w:numPr>
          <w:ilvl w:val="1"/>
          <w:numId w:val="27"/>
        </w:numPr>
        <w:tabs>
          <w:tab w:val="left" w:pos="567"/>
        </w:tabs>
        <w:ind w:left="0" w:firstLine="567"/>
        <w:jc w:val="both"/>
        <w:rPr>
          <w:color w:val="000000" w:themeColor="text1"/>
          <w:lang w:val="ro-MD"/>
        </w:rPr>
      </w:pPr>
      <w:r w:rsidRPr="002D468A">
        <w:rPr>
          <w:color w:val="000000" w:themeColor="text1"/>
          <w:lang w:val="ro-MD"/>
        </w:rPr>
        <w:t xml:space="preserve">Punctul </w:t>
      </w:r>
      <w:r w:rsidR="00D71CDA" w:rsidRPr="002D468A">
        <w:rPr>
          <w:color w:val="000000" w:themeColor="text1"/>
          <w:lang w:val="ro-MD"/>
        </w:rPr>
        <w:t>46</w:t>
      </w:r>
      <w:r w:rsidRPr="002D468A">
        <w:rPr>
          <w:color w:val="000000" w:themeColor="text1"/>
          <w:lang w:val="ro-MD"/>
        </w:rPr>
        <w:t xml:space="preserve"> </w:t>
      </w:r>
      <w:r w:rsidR="00D71CDA" w:rsidRPr="002D468A">
        <w:rPr>
          <w:color w:val="000000" w:themeColor="text1"/>
          <w:lang w:val="ro-MD"/>
        </w:rPr>
        <w:t>va avea următorul cuprins:</w:t>
      </w:r>
    </w:p>
    <w:p w14:paraId="06070AE5" w14:textId="0A1E7242" w:rsidR="00473EF4" w:rsidRPr="002D468A" w:rsidRDefault="00D039A9" w:rsidP="003F15A0">
      <w:pPr>
        <w:ind w:firstLine="567"/>
        <w:jc w:val="both"/>
        <w:rPr>
          <w:color w:val="000000" w:themeColor="text1"/>
          <w:lang w:val="ro-MD"/>
        </w:rPr>
      </w:pPr>
      <w:r w:rsidRPr="002D468A">
        <w:rPr>
          <w:color w:val="000000" w:themeColor="text1"/>
          <w:lang w:val="ro-MD"/>
        </w:rPr>
        <w:t>„</w:t>
      </w:r>
      <w:r w:rsidRPr="002D468A">
        <w:rPr>
          <w:b/>
          <w:bCs/>
          <w:color w:val="000000" w:themeColor="text1"/>
          <w:lang w:val="ro-MD"/>
        </w:rPr>
        <w:t>4</w:t>
      </w:r>
      <w:r w:rsidR="00D71CDA" w:rsidRPr="002D468A">
        <w:rPr>
          <w:b/>
          <w:bCs/>
          <w:color w:val="000000" w:themeColor="text1"/>
          <w:lang w:val="ro-MD"/>
        </w:rPr>
        <w:t>6</w:t>
      </w:r>
      <w:r w:rsidRPr="002D468A">
        <w:rPr>
          <w:b/>
          <w:bCs/>
          <w:color w:val="000000" w:themeColor="text1"/>
          <w:lang w:val="ro-MD"/>
        </w:rPr>
        <w:t>.</w:t>
      </w:r>
      <w:r w:rsidRPr="002D468A">
        <w:rPr>
          <w:color w:val="000000" w:themeColor="text1"/>
          <w:lang w:val="ro-MD"/>
        </w:rPr>
        <w:t xml:space="preserve"> </w:t>
      </w:r>
      <w:r w:rsidR="00D71CDA" w:rsidRPr="002D468A">
        <w:rPr>
          <w:color w:val="000000" w:themeColor="text1"/>
          <w:lang w:val="ro-RO" w:eastAsia="ro-MD"/>
        </w:rPr>
        <w:t>Titlurile emise de debitor sau de orice altă entitate din grup nu se califică drept garanții reale eligibile.</w:t>
      </w:r>
      <w:r w:rsidR="00D71CDA" w:rsidRPr="002D468A">
        <w:rPr>
          <w:color w:val="000000" w:themeColor="text1"/>
          <w:lang w:val="ro-MD"/>
        </w:rPr>
        <w:t xml:space="preserve"> </w:t>
      </w:r>
      <w:r w:rsidR="00D71CDA" w:rsidRPr="002D468A">
        <w:rPr>
          <w:color w:val="000000" w:themeColor="text1"/>
          <w:lang w:val="ro-RO" w:eastAsia="ro-MD"/>
        </w:rPr>
        <w:t>Cu toate acestea, obligațiunile garantate emise de debitor, care respectă condițiile prevăzute în Regulamentul nr.111/2018, se califică drept garanții reale eligibile atunci când sunt constituite cu titlu de garanții reale pentru o tranzacție de răscumpărare, cu condiția să respecte dispozițiile prevăzute la punctul 45.</w:t>
      </w:r>
      <w:r w:rsidR="005F4D74" w:rsidRPr="002D468A">
        <w:rPr>
          <w:color w:val="000000" w:themeColor="text1"/>
          <w:lang w:val="ro-MD"/>
        </w:rPr>
        <w:t>”.</w:t>
      </w:r>
    </w:p>
    <w:p w14:paraId="53F35A6B" w14:textId="4026C780" w:rsidR="007B1AF8" w:rsidRPr="002D468A" w:rsidRDefault="004B6508" w:rsidP="003F15A0">
      <w:pPr>
        <w:pStyle w:val="ListParagraph"/>
        <w:numPr>
          <w:ilvl w:val="1"/>
          <w:numId w:val="27"/>
        </w:numPr>
        <w:tabs>
          <w:tab w:val="left" w:pos="567"/>
        </w:tabs>
        <w:spacing w:before="80"/>
        <w:ind w:left="0" w:firstLine="567"/>
        <w:contextualSpacing w:val="0"/>
        <w:jc w:val="both"/>
        <w:rPr>
          <w:color w:val="000000" w:themeColor="text1"/>
          <w:lang w:val="ro-MD"/>
        </w:rPr>
      </w:pPr>
      <w:r w:rsidRPr="002D468A">
        <w:rPr>
          <w:color w:val="000000" w:themeColor="text1"/>
          <w:lang w:val="ro-MD"/>
        </w:rPr>
        <w:t>Punctul 49 sub</w:t>
      </w:r>
      <w:r w:rsidR="007B1AF8" w:rsidRPr="002D468A">
        <w:rPr>
          <w:color w:val="000000" w:themeColor="text1"/>
          <w:lang w:val="ro-MD"/>
        </w:rPr>
        <w:t xml:space="preserve">punctul </w:t>
      </w:r>
      <w:r w:rsidRPr="002D468A">
        <w:rPr>
          <w:color w:val="000000" w:themeColor="text1"/>
          <w:lang w:val="ro-MD"/>
        </w:rPr>
        <w:t>4) se completează cu textul „ considerații legate de riscurile de mediu, social și guvernanță determină efectuarea unei evaluări pentru a se stabili dacă a avut loc o scădere semnificativă a valorii de piață a garanției reale;”.</w:t>
      </w:r>
    </w:p>
    <w:p w14:paraId="205494D5" w14:textId="2877C1A4" w:rsidR="004B6508" w:rsidRPr="002D468A" w:rsidRDefault="004B6508" w:rsidP="003F15A0">
      <w:pPr>
        <w:pStyle w:val="ListParagraph"/>
        <w:numPr>
          <w:ilvl w:val="1"/>
          <w:numId w:val="27"/>
        </w:numPr>
        <w:tabs>
          <w:tab w:val="left" w:pos="567"/>
        </w:tabs>
        <w:spacing w:before="80"/>
        <w:ind w:left="0" w:firstLine="567"/>
        <w:contextualSpacing w:val="0"/>
        <w:jc w:val="both"/>
        <w:rPr>
          <w:color w:val="000000" w:themeColor="text1"/>
          <w:lang w:val="ro-MD"/>
        </w:rPr>
      </w:pPr>
      <w:r w:rsidRPr="002D468A">
        <w:rPr>
          <w:color w:val="000000" w:themeColor="text1"/>
          <w:lang w:val="ro-MD"/>
        </w:rPr>
        <w:t>Se completează cu punctul 5</w:t>
      </w:r>
      <w:r w:rsidR="00AF0AFE" w:rsidRPr="002D468A">
        <w:rPr>
          <w:color w:val="000000" w:themeColor="text1"/>
          <w:lang w:val="ro-MD"/>
        </w:rPr>
        <w:t>0</w:t>
      </w:r>
      <w:r w:rsidRPr="002D468A">
        <w:rPr>
          <w:color w:val="000000" w:themeColor="text1"/>
          <w:vertAlign w:val="superscript"/>
          <w:lang w:val="ro-MD"/>
        </w:rPr>
        <w:t>1</w:t>
      </w:r>
      <w:r w:rsidRPr="002D468A">
        <w:rPr>
          <w:color w:val="000000" w:themeColor="text1"/>
          <w:lang w:val="ro-MD"/>
        </w:rPr>
        <w:t xml:space="preserve"> cu următorul cuprins:</w:t>
      </w:r>
    </w:p>
    <w:p w14:paraId="0C87B2D5" w14:textId="5BABC5DC" w:rsidR="004B6508" w:rsidRPr="002D468A" w:rsidRDefault="004B6508" w:rsidP="003F15A0">
      <w:pPr>
        <w:tabs>
          <w:tab w:val="left" w:pos="567"/>
        </w:tabs>
        <w:ind w:firstLine="567"/>
        <w:jc w:val="both"/>
        <w:rPr>
          <w:color w:val="000000" w:themeColor="text1"/>
          <w:lang w:val="ro-MD"/>
        </w:rPr>
      </w:pPr>
      <w:r w:rsidRPr="002D468A">
        <w:rPr>
          <w:color w:val="000000" w:themeColor="text1"/>
          <w:lang w:val="ro-MD"/>
        </w:rPr>
        <w:t>„</w:t>
      </w:r>
      <w:r w:rsidRPr="002D468A">
        <w:rPr>
          <w:b/>
          <w:bCs/>
          <w:color w:val="000000" w:themeColor="text1"/>
          <w:lang w:val="ro-RO" w:eastAsia="ro-MD"/>
        </w:rPr>
        <w:t>5</w:t>
      </w:r>
      <w:r w:rsidR="00AF0AFE" w:rsidRPr="002D468A">
        <w:rPr>
          <w:b/>
          <w:bCs/>
          <w:color w:val="000000" w:themeColor="text1"/>
          <w:lang w:val="ro-RO" w:eastAsia="ro-MD"/>
        </w:rPr>
        <w:t>0</w:t>
      </w:r>
      <w:r w:rsidRPr="002D468A">
        <w:rPr>
          <w:b/>
          <w:bCs/>
          <w:color w:val="000000" w:themeColor="text1"/>
          <w:vertAlign w:val="superscript"/>
          <w:lang w:val="ro-RO" w:eastAsia="ro-MD"/>
        </w:rPr>
        <w:t>1</w:t>
      </w:r>
      <w:r w:rsidRPr="002D468A">
        <w:rPr>
          <w:b/>
          <w:bCs/>
          <w:color w:val="000000" w:themeColor="text1"/>
          <w:lang w:val="ro-RO" w:eastAsia="ro-MD"/>
        </w:rPr>
        <w:t>.</w:t>
      </w:r>
      <w:r w:rsidRPr="002D468A">
        <w:rPr>
          <w:color w:val="000000" w:themeColor="text1"/>
          <w:lang w:val="ro-RO" w:eastAsia="ro-MD"/>
        </w:rPr>
        <w:t xml:space="preserve"> Bunurile imobile se califică drept garanții reale eligibile numai dacă sunt îndeplinite toate cerințele prevăzute în anexa nr.2 la Regulamentul nr.111/2018</w:t>
      </w:r>
      <w:r w:rsidR="00AF0AFE" w:rsidRPr="002D468A">
        <w:rPr>
          <w:color w:val="000000" w:themeColor="text1"/>
          <w:lang w:val="ro-RO" w:eastAsia="ro-MD"/>
        </w:rPr>
        <w:t>.”.</w:t>
      </w:r>
    </w:p>
    <w:p w14:paraId="4374C3B4" w14:textId="77777777" w:rsidR="00AF0AFE" w:rsidRPr="002D468A" w:rsidRDefault="00AF0AFE" w:rsidP="003F15A0">
      <w:pPr>
        <w:pStyle w:val="ListParagraph"/>
        <w:numPr>
          <w:ilvl w:val="1"/>
          <w:numId w:val="27"/>
        </w:numPr>
        <w:tabs>
          <w:tab w:val="left" w:pos="567"/>
        </w:tabs>
        <w:spacing w:before="80"/>
        <w:ind w:left="0" w:firstLine="567"/>
        <w:jc w:val="both"/>
        <w:rPr>
          <w:color w:val="000000" w:themeColor="text1"/>
          <w:lang w:val="ro-MD"/>
        </w:rPr>
      </w:pPr>
      <w:r w:rsidRPr="002D468A">
        <w:rPr>
          <w:color w:val="000000" w:themeColor="text1"/>
          <w:lang w:val="ro-MD"/>
        </w:rPr>
        <w:t>Capitolul VI se completează cu secțiunile 2</w:t>
      </w:r>
      <w:r w:rsidRPr="002D468A">
        <w:rPr>
          <w:color w:val="000000" w:themeColor="text1"/>
          <w:vertAlign w:val="superscript"/>
          <w:lang w:val="ro-MD"/>
        </w:rPr>
        <w:t>1</w:t>
      </w:r>
      <w:r w:rsidRPr="002D468A">
        <w:rPr>
          <w:color w:val="000000" w:themeColor="text1"/>
          <w:lang w:val="ro-MD"/>
        </w:rPr>
        <w:t xml:space="preserve"> și 2</w:t>
      </w:r>
      <w:r w:rsidRPr="002D468A">
        <w:rPr>
          <w:color w:val="000000" w:themeColor="text1"/>
          <w:vertAlign w:val="superscript"/>
          <w:lang w:val="ro-MD"/>
        </w:rPr>
        <w:t>2</w:t>
      </w:r>
      <w:r w:rsidRPr="002D468A">
        <w:rPr>
          <w:color w:val="000000" w:themeColor="text1"/>
          <w:lang w:val="ro-MD"/>
        </w:rPr>
        <w:t xml:space="preserve"> cu următorul cuprins:</w:t>
      </w:r>
    </w:p>
    <w:p w14:paraId="064287DF" w14:textId="77777777" w:rsidR="00962019" w:rsidRPr="002D468A" w:rsidRDefault="00AF0AFE" w:rsidP="00962019">
      <w:pPr>
        <w:jc w:val="center"/>
        <w:rPr>
          <w:color w:val="000000" w:themeColor="text1"/>
          <w:lang w:val="ro-RO" w:eastAsia="ro-MD"/>
        </w:rPr>
      </w:pPr>
      <w:r w:rsidRPr="002D468A">
        <w:rPr>
          <w:color w:val="000000" w:themeColor="text1"/>
          <w:lang w:val="ro-MD"/>
        </w:rPr>
        <w:t xml:space="preserve">„ </w:t>
      </w:r>
      <w:r w:rsidR="00962019" w:rsidRPr="002D468A">
        <w:rPr>
          <w:b/>
          <w:bCs/>
          <w:i/>
          <w:iCs/>
          <w:color w:val="000000" w:themeColor="text1"/>
          <w:lang w:val="ro-RO" w:eastAsia="ro-MD"/>
        </w:rPr>
        <w:t>Secțiunea a 2</w:t>
      </w:r>
      <w:r w:rsidR="00962019" w:rsidRPr="002D468A">
        <w:rPr>
          <w:b/>
          <w:bCs/>
          <w:i/>
          <w:iCs/>
          <w:color w:val="000000" w:themeColor="text1"/>
          <w:vertAlign w:val="superscript"/>
          <w:lang w:val="ro-RO" w:eastAsia="ro-MD"/>
        </w:rPr>
        <w:t>1</w:t>
      </w:r>
      <w:r w:rsidR="00962019" w:rsidRPr="002D468A">
        <w:rPr>
          <w:b/>
          <w:bCs/>
          <w:i/>
          <w:iCs/>
          <w:color w:val="000000" w:themeColor="text1"/>
          <w:lang w:val="ro-RO" w:eastAsia="ro-MD"/>
        </w:rPr>
        <w:t>-a</w:t>
      </w:r>
    </w:p>
    <w:p w14:paraId="416330E8" w14:textId="77777777" w:rsidR="00962019" w:rsidRPr="002D468A" w:rsidRDefault="00962019" w:rsidP="00962019">
      <w:pPr>
        <w:jc w:val="center"/>
        <w:rPr>
          <w:color w:val="000000" w:themeColor="text1"/>
          <w:lang w:val="ro-RO" w:eastAsia="ro-MD"/>
        </w:rPr>
      </w:pPr>
      <w:r w:rsidRPr="002D468A">
        <w:rPr>
          <w:b/>
          <w:bCs/>
          <w:i/>
          <w:iCs/>
          <w:color w:val="000000" w:themeColor="text1"/>
          <w:lang w:val="ro-RO" w:eastAsia="ro-MD"/>
        </w:rPr>
        <w:t> Cerințe privind creanțele</w:t>
      </w:r>
    </w:p>
    <w:p w14:paraId="15580548" w14:textId="3BB6F2F1" w:rsidR="00962019" w:rsidRPr="002D468A" w:rsidRDefault="00962019" w:rsidP="00962019">
      <w:pPr>
        <w:jc w:val="both"/>
        <w:rPr>
          <w:color w:val="000000" w:themeColor="text1"/>
          <w:lang w:val="ro-RO" w:eastAsia="ro-MD"/>
        </w:rPr>
      </w:pPr>
      <w:r w:rsidRPr="002D468A">
        <w:rPr>
          <w:b/>
          <w:bCs/>
          <w:color w:val="000000" w:themeColor="text1"/>
          <w:lang w:val="ro-RO" w:eastAsia="ro-MD"/>
        </w:rPr>
        <w:t>50</w:t>
      </w:r>
      <w:r w:rsidRPr="002D468A">
        <w:rPr>
          <w:b/>
          <w:bCs/>
          <w:color w:val="000000" w:themeColor="text1"/>
          <w:vertAlign w:val="superscript"/>
          <w:lang w:val="ro-RO" w:eastAsia="ro-MD"/>
        </w:rPr>
        <w:t>2</w:t>
      </w:r>
      <w:r w:rsidRPr="002D468A">
        <w:rPr>
          <w:b/>
          <w:bCs/>
          <w:color w:val="000000" w:themeColor="text1"/>
          <w:lang w:val="ro-RO" w:eastAsia="ro-MD"/>
        </w:rPr>
        <w:t>.</w:t>
      </w:r>
      <w:r w:rsidRPr="002D468A">
        <w:rPr>
          <w:color w:val="000000" w:themeColor="text1"/>
          <w:lang w:val="ro-RO" w:eastAsia="ro-MD"/>
        </w:rPr>
        <w:t xml:space="preserve"> Creanțele se califică drept garanții reale eligibile dacă sunt îndeplinite cumulativ cerințele prevăzute la punctele 5</w:t>
      </w:r>
      <w:r w:rsidR="00F863E6" w:rsidRPr="002D468A">
        <w:rPr>
          <w:color w:val="000000" w:themeColor="text1"/>
          <w:lang w:val="ro-RO" w:eastAsia="ro-MD"/>
        </w:rPr>
        <w:t>0</w:t>
      </w:r>
      <w:r w:rsidRPr="002D468A">
        <w:rPr>
          <w:color w:val="000000" w:themeColor="text1"/>
          <w:vertAlign w:val="superscript"/>
          <w:lang w:val="ro-RO" w:eastAsia="ro-MD"/>
        </w:rPr>
        <w:t>3</w:t>
      </w:r>
      <w:r w:rsidRPr="002D468A">
        <w:rPr>
          <w:color w:val="000000" w:themeColor="text1"/>
          <w:lang w:val="ro-RO" w:eastAsia="ro-MD"/>
        </w:rPr>
        <w:t xml:space="preserve"> și 5</w:t>
      </w:r>
      <w:r w:rsidR="00F863E6" w:rsidRPr="002D468A">
        <w:rPr>
          <w:color w:val="000000" w:themeColor="text1"/>
          <w:lang w:val="ro-RO" w:eastAsia="ro-MD"/>
        </w:rPr>
        <w:t>0</w:t>
      </w:r>
      <w:r w:rsidRPr="002D468A">
        <w:rPr>
          <w:color w:val="000000" w:themeColor="text1"/>
          <w:vertAlign w:val="superscript"/>
          <w:lang w:val="ro-RO" w:eastAsia="ro-MD"/>
        </w:rPr>
        <w:t>4</w:t>
      </w:r>
      <w:r w:rsidRPr="002D468A">
        <w:rPr>
          <w:color w:val="000000" w:themeColor="text1"/>
          <w:lang w:val="ro-RO" w:eastAsia="ro-MD"/>
        </w:rPr>
        <w:t>.</w:t>
      </w:r>
    </w:p>
    <w:p w14:paraId="6CCF5C31" w14:textId="77777777" w:rsidR="00962019" w:rsidRPr="002D468A" w:rsidRDefault="00962019" w:rsidP="00962019">
      <w:pPr>
        <w:jc w:val="both"/>
        <w:rPr>
          <w:color w:val="000000" w:themeColor="text1"/>
          <w:lang w:val="ro-RO" w:eastAsia="ro-MD"/>
        </w:rPr>
      </w:pPr>
      <w:r w:rsidRPr="002D468A">
        <w:rPr>
          <w:b/>
          <w:bCs/>
          <w:color w:val="000000" w:themeColor="text1"/>
          <w:lang w:val="ro-RO" w:eastAsia="ro-MD"/>
        </w:rPr>
        <w:t>50</w:t>
      </w:r>
      <w:r w:rsidRPr="002D468A">
        <w:rPr>
          <w:b/>
          <w:bCs/>
          <w:color w:val="000000" w:themeColor="text1"/>
          <w:vertAlign w:val="superscript"/>
          <w:lang w:val="ro-RO" w:eastAsia="ro-MD"/>
        </w:rPr>
        <w:t>3</w:t>
      </w:r>
      <w:r w:rsidRPr="002D468A">
        <w:rPr>
          <w:b/>
          <w:bCs/>
          <w:color w:val="000000" w:themeColor="text1"/>
          <w:lang w:val="ro-RO" w:eastAsia="ro-MD"/>
        </w:rPr>
        <w:t>.</w:t>
      </w:r>
      <w:r w:rsidRPr="002D468A">
        <w:rPr>
          <w:color w:val="000000" w:themeColor="text1"/>
          <w:lang w:val="ro-RO" w:eastAsia="ro-MD"/>
        </w:rPr>
        <w:t xml:space="preserve"> Trebuie îndeplinite următoarele cerințe privind securitatea juridică:</w:t>
      </w:r>
    </w:p>
    <w:p w14:paraId="6A10B71D" w14:textId="64932002" w:rsidR="00962019" w:rsidRPr="002D468A" w:rsidRDefault="00962019" w:rsidP="00962019">
      <w:pPr>
        <w:ind w:firstLine="567"/>
        <w:jc w:val="both"/>
        <w:rPr>
          <w:color w:val="000000" w:themeColor="text1"/>
          <w:lang w:val="ro-RO" w:eastAsia="ro-MD"/>
        </w:rPr>
      </w:pPr>
      <w:r w:rsidRPr="002D468A">
        <w:rPr>
          <w:color w:val="000000" w:themeColor="text1"/>
          <w:lang w:val="ro-RO" w:eastAsia="ro-MD"/>
        </w:rPr>
        <w:t>1) mecanismul juridic prin intermediul căruia garanția reală este furnizată unei bănci creditoare trebuie să fie robust și eficace și să asigure existența unor drepturi clare ale băncii respective asupra garanției reale, inclusiv dreptul asupra încasărilor din vânzarea garanției reale;</w:t>
      </w:r>
    </w:p>
    <w:p w14:paraId="1E4DC25B" w14:textId="2C084A9D" w:rsidR="00962019" w:rsidRPr="002D468A" w:rsidRDefault="00962019" w:rsidP="00962019">
      <w:pPr>
        <w:ind w:firstLine="567"/>
        <w:jc w:val="both"/>
        <w:rPr>
          <w:color w:val="000000" w:themeColor="text1"/>
          <w:lang w:val="ro-RO" w:eastAsia="ro-MD"/>
        </w:rPr>
      </w:pPr>
      <w:r w:rsidRPr="002D468A">
        <w:rPr>
          <w:color w:val="000000" w:themeColor="text1"/>
          <w:lang w:val="ro-RO" w:eastAsia="ro-MD"/>
        </w:rPr>
        <w:t>2) băncile trebuie să ia toate măsurile necesare pentru a îndeplini cerințele privind caracterul executoriu al garanției reale</w:t>
      </w:r>
      <w:r w:rsidR="007B27A4" w:rsidRPr="002D468A">
        <w:t xml:space="preserve"> </w:t>
      </w:r>
      <w:r w:rsidR="007B27A4" w:rsidRPr="002D468A">
        <w:rPr>
          <w:color w:val="000000" w:themeColor="text1"/>
          <w:lang w:val="ro-RO" w:eastAsia="ro-MD"/>
        </w:rPr>
        <w:t>în toate jurisdicțiile relevante</w:t>
      </w:r>
      <w:r w:rsidRPr="002D468A">
        <w:rPr>
          <w:color w:val="000000" w:themeColor="text1"/>
          <w:lang w:val="ro-RO" w:eastAsia="ro-MD"/>
        </w:rPr>
        <w:t>. Băncile creditoare trebuie să dețină un drept prioritar de prim rang asupra garanției reale, deși astfel de drepturi pot fi subordonate drepturilor creditorilor privilegiați prevăzu</w:t>
      </w:r>
      <w:r w:rsidR="00165045" w:rsidRPr="002D468A">
        <w:rPr>
          <w:color w:val="000000" w:themeColor="text1"/>
          <w:lang w:val="ro-RO" w:eastAsia="ro-MD"/>
        </w:rPr>
        <w:t>te</w:t>
      </w:r>
      <w:r w:rsidRPr="002D468A">
        <w:rPr>
          <w:color w:val="000000" w:themeColor="text1"/>
          <w:lang w:val="ro-RO" w:eastAsia="ro-MD"/>
        </w:rPr>
        <w:t xml:space="preserve"> </w:t>
      </w:r>
      <w:r w:rsidR="00F14D5D" w:rsidRPr="002D468A">
        <w:rPr>
          <w:color w:val="000000" w:themeColor="text1"/>
          <w:lang w:val="ro-RO" w:eastAsia="ro-MD"/>
        </w:rPr>
        <w:t xml:space="preserve">de </w:t>
      </w:r>
      <w:r w:rsidR="00165045" w:rsidRPr="002D468A">
        <w:rPr>
          <w:color w:val="000000" w:themeColor="text1"/>
          <w:lang w:val="ro-RO" w:eastAsia="ro-MD"/>
        </w:rPr>
        <w:t>legislația în vigoare</w:t>
      </w:r>
      <w:r w:rsidRPr="002D468A">
        <w:rPr>
          <w:color w:val="000000" w:themeColor="text1"/>
          <w:lang w:val="ro-RO" w:eastAsia="ro-MD"/>
        </w:rPr>
        <w:t>;</w:t>
      </w:r>
    </w:p>
    <w:p w14:paraId="2825E956" w14:textId="325C2823" w:rsidR="00962019" w:rsidRPr="002D468A" w:rsidRDefault="00962019" w:rsidP="00962019">
      <w:pPr>
        <w:ind w:firstLine="567"/>
        <w:jc w:val="both"/>
        <w:rPr>
          <w:color w:val="000000" w:themeColor="text1"/>
          <w:lang w:val="ro-RO" w:eastAsia="ro-MD"/>
        </w:rPr>
      </w:pPr>
      <w:r w:rsidRPr="002D468A">
        <w:rPr>
          <w:color w:val="000000" w:themeColor="text1"/>
          <w:lang w:val="ro-RO" w:eastAsia="ro-MD"/>
        </w:rPr>
        <w:t>3) băncile trebuie să efectueze o analiză juridică, considerată suficientă pentru a confirma caracterul executoriu al contractelor de garanție reală în toate jurisdicțiile relevante;</w:t>
      </w:r>
    </w:p>
    <w:p w14:paraId="51755EA2" w14:textId="06033CD7" w:rsidR="00962019" w:rsidRPr="002D468A" w:rsidRDefault="00962019" w:rsidP="00962019">
      <w:pPr>
        <w:ind w:firstLine="567"/>
        <w:jc w:val="both"/>
        <w:rPr>
          <w:color w:val="000000" w:themeColor="text1"/>
          <w:lang w:val="ro-RO" w:eastAsia="ro-MD"/>
        </w:rPr>
      </w:pPr>
      <w:r w:rsidRPr="002D468A">
        <w:rPr>
          <w:color w:val="000000" w:themeColor="text1"/>
          <w:lang w:val="ro-RO" w:eastAsia="ro-MD"/>
        </w:rPr>
        <w:t>4) băncile trebuie să formalizeze în mod corespunzător contractele de garanție reală și să dispună de proceduri clare și solide pentru încasarea în timp util a garanției reale;</w:t>
      </w:r>
    </w:p>
    <w:p w14:paraId="1EBC5741" w14:textId="7EC08927" w:rsidR="00962019" w:rsidRPr="002D468A" w:rsidRDefault="00962019" w:rsidP="00962019">
      <w:pPr>
        <w:ind w:firstLine="567"/>
        <w:jc w:val="both"/>
        <w:rPr>
          <w:color w:val="000000" w:themeColor="text1"/>
          <w:lang w:val="ro-RO" w:eastAsia="ro-MD"/>
        </w:rPr>
      </w:pPr>
      <w:r w:rsidRPr="002D468A">
        <w:rPr>
          <w:color w:val="000000" w:themeColor="text1"/>
          <w:lang w:val="ro-RO" w:eastAsia="ro-MD"/>
        </w:rPr>
        <w:t>5) băncile trebuie să dispună de proceduri care să asigure respectarea tuturor condițiilor juridice cerute pentru declararea stării de nerambursare a unui credit și încasarea în timp util a garanției reale;</w:t>
      </w:r>
    </w:p>
    <w:p w14:paraId="3A6C0964" w14:textId="5058FEC5" w:rsidR="00962019" w:rsidRPr="002D468A" w:rsidRDefault="00962019" w:rsidP="00962019">
      <w:pPr>
        <w:ind w:firstLine="567"/>
        <w:jc w:val="both"/>
        <w:rPr>
          <w:color w:val="000000" w:themeColor="text1"/>
          <w:lang w:val="ro-RO" w:eastAsia="ro-MD"/>
        </w:rPr>
      </w:pPr>
      <w:r w:rsidRPr="002D468A">
        <w:rPr>
          <w:color w:val="000000" w:themeColor="text1"/>
          <w:lang w:val="ro-RO" w:eastAsia="ro-MD"/>
        </w:rPr>
        <w:lastRenderedPageBreak/>
        <w:t>6) în cazul în care un credit are dificultăți financiare sau se află în stare de nerambursare, băncile trebuie să aibă autoritatea legală de a vinde sau de a ceda creanțele altor părți, fără consimțământul debitorilor cedați.</w:t>
      </w:r>
    </w:p>
    <w:p w14:paraId="5DB124AE" w14:textId="4DE1C9FD" w:rsidR="00962019" w:rsidRPr="002D468A" w:rsidRDefault="00962019" w:rsidP="00962019">
      <w:pPr>
        <w:jc w:val="both"/>
        <w:rPr>
          <w:color w:val="000000" w:themeColor="text1"/>
          <w:lang w:val="ro-RO" w:eastAsia="ro-MD"/>
        </w:rPr>
      </w:pPr>
      <w:r w:rsidRPr="002D468A">
        <w:rPr>
          <w:b/>
          <w:bCs/>
          <w:color w:val="000000" w:themeColor="text1"/>
          <w:lang w:val="ro-RO" w:eastAsia="ro-MD"/>
        </w:rPr>
        <w:t>50</w:t>
      </w:r>
      <w:r w:rsidRPr="002D468A">
        <w:rPr>
          <w:b/>
          <w:bCs/>
          <w:color w:val="000000" w:themeColor="text1"/>
          <w:vertAlign w:val="superscript"/>
          <w:lang w:val="ro-RO" w:eastAsia="ro-MD"/>
        </w:rPr>
        <w:t>4</w:t>
      </w:r>
      <w:r w:rsidRPr="002D468A">
        <w:rPr>
          <w:b/>
          <w:bCs/>
          <w:color w:val="000000" w:themeColor="text1"/>
          <w:lang w:val="ro-RO" w:eastAsia="ro-MD"/>
        </w:rPr>
        <w:t>.</w:t>
      </w:r>
      <w:r w:rsidRPr="002D468A">
        <w:rPr>
          <w:color w:val="000000" w:themeColor="text1"/>
          <w:lang w:val="ro-RO" w:eastAsia="ro-MD"/>
        </w:rPr>
        <w:t xml:space="preserve"> Trebuie îndeplinite următoarele cerințe privind </w:t>
      </w:r>
      <w:r w:rsidR="00DD0BDA" w:rsidRPr="002D468A">
        <w:rPr>
          <w:color w:val="000000" w:themeColor="text1"/>
          <w:lang w:val="ro-RO" w:eastAsia="ro-MD"/>
        </w:rPr>
        <w:t>administrarea</w:t>
      </w:r>
      <w:r w:rsidRPr="002D468A">
        <w:rPr>
          <w:color w:val="000000" w:themeColor="text1"/>
          <w:lang w:val="ro-RO" w:eastAsia="ro-MD"/>
        </w:rPr>
        <w:t xml:space="preserve"> riscurilor:</w:t>
      </w:r>
    </w:p>
    <w:p w14:paraId="6FD921DE" w14:textId="3CDA7BB0" w:rsidR="00962019" w:rsidRPr="002D468A" w:rsidRDefault="00962019" w:rsidP="00962019">
      <w:pPr>
        <w:ind w:firstLine="567"/>
        <w:jc w:val="both"/>
        <w:rPr>
          <w:color w:val="000000" w:themeColor="text1"/>
          <w:lang w:val="ro-RO" w:eastAsia="ro-MD"/>
        </w:rPr>
      </w:pPr>
      <w:r w:rsidRPr="002D468A">
        <w:rPr>
          <w:color w:val="000000" w:themeColor="text1"/>
          <w:lang w:val="ro-RO" w:eastAsia="ro-MD"/>
        </w:rPr>
        <w:t>1) o bancă trebuie să dispună de un proces riguros pentru determinarea riscului de credit asociat creanțelor. Un astfel de proces trebuie să includă analiza activității debitorului și a sectorului în care acesta își desfășoară activitatea, precum și a tipurilor de clienți cu care debitorul intră în relații de afaceri. Atunci când banca recurge la debitori pentru a stabili riscul de credit al clienților, banca trebuie să reexamineze practicile de credit ale debitorilor pentru a se asigura de fiabilitatea și credibilitatea acestora;</w:t>
      </w:r>
    </w:p>
    <w:p w14:paraId="77F528BF" w14:textId="221374B2" w:rsidR="00962019" w:rsidRPr="002D468A" w:rsidRDefault="00962019" w:rsidP="00962019">
      <w:pPr>
        <w:ind w:firstLine="567"/>
        <w:jc w:val="both"/>
        <w:rPr>
          <w:color w:val="000000" w:themeColor="text1"/>
          <w:lang w:val="ro-RO" w:eastAsia="ro-MD"/>
        </w:rPr>
      </w:pPr>
      <w:r w:rsidRPr="002D468A">
        <w:rPr>
          <w:color w:val="000000" w:themeColor="text1"/>
          <w:lang w:val="ro-RO" w:eastAsia="ro-MD"/>
        </w:rPr>
        <w:t>2) diferența dintre cuantumul expunerii și valoarea creanțelor trebuie să reflecte toți factorii corespunzători, inclusiv costul colectării, gradul de concentrare din cadrul portofoliului de creanțe aduse în garanție de același debitor și riscul potențial de concentrare la nivelul expunerilor totale ale băncii, dincolo de nivelul riscului de concentrare controlat prin metodologia generală a băncii. Băncile trebuie să dispună de un proces permanent de monitorizare a creanțelor, adecvat acestora. Băncile trebuie, de asemenea, să verifice cu regularitate respectarea clauzelor contractelor de credit, a restricțiilor de mediu și a altor cerințe legale;</w:t>
      </w:r>
    </w:p>
    <w:p w14:paraId="13292532" w14:textId="039A26E7" w:rsidR="00962019" w:rsidRPr="002D468A" w:rsidRDefault="00962019" w:rsidP="00962019">
      <w:pPr>
        <w:ind w:firstLine="567"/>
        <w:jc w:val="both"/>
        <w:rPr>
          <w:color w:val="000000" w:themeColor="text1"/>
          <w:lang w:val="ro-RO" w:eastAsia="ro-MD"/>
        </w:rPr>
      </w:pPr>
      <w:r w:rsidRPr="002D468A">
        <w:rPr>
          <w:color w:val="000000" w:themeColor="text1"/>
          <w:lang w:val="ro-RO" w:eastAsia="ro-MD"/>
        </w:rPr>
        <w:t>3) creanțele aduse în garanție de un debitor trebuie să fie diversificate și nu trebuie să fie corelate în mod nejustificat cu situația debitorului. În cazul în care există o corelație pozitivă semnificativă, băncile trebuie să țină seama de riscurile asociate atunci când stabilesc marjele pentru portofoliul de garanții reale, în ansamblul său;</w:t>
      </w:r>
    </w:p>
    <w:p w14:paraId="2C84A1BE" w14:textId="7DA77484" w:rsidR="00962019" w:rsidRPr="002D468A" w:rsidRDefault="00962019" w:rsidP="00962019">
      <w:pPr>
        <w:ind w:firstLine="567"/>
        <w:jc w:val="both"/>
        <w:rPr>
          <w:color w:val="000000" w:themeColor="text1"/>
          <w:lang w:val="ro-RO" w:eastAsia="ro-MD"/>
        </w:rPr>
      </w:pPr>
      <w:r w:rsidRPr="002D468A">
        <w:rPr>
          <w:color w:val="000000" w:themeColor="text1"/>
          <w:lang w:val="ro-RO" w:eastAsia="ro-MD"/>
        </w:rPr>
        <w:t>4) băncile nu trebuie să utilizeze ca protecție eligibilă a creditului creanțe provenind de la afiliații unui debitor, inclusiv de la filialele și angajații acestuia;</w:t>
      </w:r>
    </w:p>
    <w:p w14:paraId="773DC0CD" w14:textId="2247F525" w:rsidR="00962019" w:rsidRPr="002D468A" w:rsidRDefault="00962019" w:rsidP="00962019">
      <w:pPr>
        <w:ind w:firstLine="567"/>
        <w:jc w:val="both"/>
        <w:rPr>
          <w:color w:val="000000" w:themeColor="text1"/>
          <w:lang w:val="ro-RO" w:eastAsia="ro-MD"/>
        </w:rPr>
      </w:pPr>
      <w:r w:rsidRPr="002D468A">
        <w:rPr>
          <w:color w:val="000000" w:themeColor="text1"/>
          <w:lang w:val="ro-RO" w:eastAsia="ro-MD"/>
        </w:rPr>
        <w:t>5) băncile trebuie să dispună de un proces formalizat pentru colectarea, în situații dificile, a plăților aferente creanțelor. Băncile trebuie să dispună de facilitățile necesare pentru colectare, chiar dacă, în mod normal, se bazează pe debitori pentru colectare.</w:t>
      </w:r>
    </w:p>
    <w:p w14:paraId="696CC671" w14:textId="77777777" w:rsidR="00962019" w:rsidRPr="002D468A" w:rsidRDefault="00962019" w:rsidP="00DD0BDA">
      <w:pPr>
        <w:spacing w:before="120"/>
        <w:jc w:val="center"/>
        <w:rPr>
          <w:color w:val="000000" w:themeColor="text1"/>
          <w:lang w:val="ro-RO" w:eastAsia="ro-MD"/>
        </w:rPr>
      </w:pPr>
      <w:r w:rsidRPr="002D468A">
        <w:rPr>
          <w:b/>
          <w:bCs/>
          <w:i/>
          <w:iCs/>
          <w:color w:val="000000" w:themeColor="text1"/>
          <w:lang w:val="ro-RO" w:eastAsia="ro-MD"/>
        </w:rPr>
        <w:t>Secțiunea a 2</w:t>
      </w:r>
      <w:r w:rsidRPr="002D468A">
        <w:rPr>
          <w:b/>
          <w:bCs/>
          <w:i/>
          <w:iCs/>
          <w:color w:val="000000" w:themeColor="text1"/>
          <w:vertAlign w:val="superscript"/>
          <w:lang w:val="ro-RO" w:eastAsia="ro-MD"/>
        </w:rPr>
        <w:t>2</w:t>
      </w:r>
      <w:r w:rsidRPr="002D468A">
        <w:rPr>
          <w:b/>
          <w:bCs/>
          <w:i/>
          <w:iCs/>
          <w:color w:val="000000" w:themeColor="text1"/>
          <w:lang w:val="ro-RO" w:eastAsia="ro-MD"/>
        </w:rPr>
        <w:t>-a</w:t>
      </w:r>
    </w:p>
    <w:p w14:paraId="0D05DA09" w14:textId="77777777" w:rsidR="00962019" w:rsidRPr="002D468A" w:rsidRDefault="00962019" w:rsidP="00DD0BDA">
      <w:pPr>
        <w:spacing w:after="120"/>
        <w:jc w:val="center"/>
        <w:rPr>
          <w:color w:val="000000" w:themeColor="text1"/>
          <w:lang w:val="ro-RO" w:eastAsia="ro-MD"/>
        </w:rPr>
      </w:pPr>
      <w:r w:rsidRPr="002D468A">
        <w:rPr>
          <w:b/>
          <w:bCs/>
          <w:i/>
          <w:iCs/>
          <w:color w:val="000000" w:themeColor="text1"/>
          <w:lang w:val="ro-RO" w:eastAsia="ro-MD"/>
        </w:rPr>
        <w:t> Cerințe privind alte garanții reale corporale și</w:t>
      </w:r>
      <w:r w:rsidRPr="002D468A">
        <w:rPr>
          <w:color w:val="000000" w:themeColor="text1"/>
          <w:lang w:val="ro-RO"/>
        </w:rPr>
        <w:t xml:space="preserve"> </w:t>
      </w:r>
      <w:r w:rsidRPr="002D468A">
        <w:rPr>
          <w:b/>
          <w:bCs/>
          <w:i/>
          <w:iCs/>
          <w:color w:val="000000" w:themeColor="text1"/>
          <w:lang w:val="ro-RO" w:eastAsia="ro-MD"/>
        </w:rPr>
        <w:t>privind tratarea expunerilor decurgând din operațiuni de leasing ca expuneri acoperite cu garanții reale</w:t>
      </w:r>
    </w:p>
    <w:p w14:paraId="348A3DD9" w14:textId="77777777" w:rsidR="00962019" w:rsidRPr="002D468A" w:rsidRDefault="00962019" w:rsidP="00962019">
      <w:pPr>
        <w:jc w:val="both"/>
        <w:rPr>
          <w:color w:val="000000" w:themeColor="text1"/>
          <w:lang w:val="ro-RO" w:eastAsia="ro-MD"/>
        </w:rPr>
      </w:pPr>
      <w:r w:rsidRPr="002D468A">
        <w:rPr>
          <w:b/>
          <w:bCs/>
          <w:color w:val="000000" w:themeColor="text1"/>
          <w:lang w:val="ro-RO" w:eastAsia="ro-MD"/>
        </w:rPr>
        <w:t>50</w:t>
      </w:r>
      <w:r w:rsidRPr="002D468A">
        <w:rPr>
          <w:b/>
          <w:bCs/>
          <w:color w:val="000000" w:themeColor="text1"/>
          <w:vertAlign w:val="superscript"/>
          <w:lang w:val="ro-RO" w:eastAsia="ro-MD"/>
        </w:rPr>
        <w:t>5</w:t>
      </w:r>
      <w:r w:rsidRPr="002D468A">
        <w:rPr>
          <w:b/>
          <w:bCs/>
          <w:color w:val="000000" w:themeColor="text1"/>
          <w:lang w:val="ro-RO" w:eastAsia="ro-MD"/>
        </w:rPr>
        <w:t>.</w:t>
      </w:r>
      <w:r w:rsidRPr="002D468A">
        <w:rPr>
          <w:color w:val="000000" w:themeColor="text1"/>
          <w:lang w:val="ro-RO" w:eastAsia="ro-MD"/>
        </w:rPr>
        <w:t xml:space="preserve"> Garanțiile reale corporale, altele decât garanțiile sub forma bunurilor imobile, se califică drept garanții reale eligibile în cadrul abordării IRB, dacă sunt îndeplinite cumulativ următoarele condiții:</w:t>
      </w:r>
    </w:p>
    <w:p w14:paraId="3673789D" w14:textId="48035F5A" w:rsidR="00962019" w:rsidRPr="002D468A" w:rsidRDefault="00962019" w:rsidP="00962019">
      <w:pPr>
        <w:ind w:firstLine="567"/>
        <w:jc w:val="both"/>
        <w:rPr>
          <w:color w:val="000000" w:themeColor="text1"/>
          <w:lang w:val="ro-RO" w:eastAsia="ro-MD"/>
        </w:rPr>
      </w:pPr>
      <w:r w:rsidRPr="002D468A">
        <w:rPr>
          <w:color w:val="000000" w:themeColor="text1"/>
          <w:lang w:val="ro-RO" w:eastAsia="ro-MD"/>
        </w:rPr>
        <w:t>1) contractul de garanție reală în temeiul căruia garanțiile reale corporale sunt furnizate unei bănci este eficace și executoriu din punct de vedere juridic în toate jurisdicțiile relevante și permite băncii respective să valorifice garanția reală într-un interval de timp rezonabil;</w:t>
      </w:r>
    </w:p>
    <w:p w14:paraId="06E6DD28" w14:textId="5E2BEDC6" w:rsidR="00962019" w:rsidRPr="002D468A" w:rsidRDefault="00962019" w:rsidP="00962019">
      <w:pPr>
        <w:ind w:firstLine="567"/>
        <w:jc w:val="both"/>
        <w:rPr>
          <w:color w:val="000000" w:themeColor="text1"/>
          <w:lang w:val="ro-RO" w:eastAsia="ro-MD"/>
        </w:rPr>
      </w:pPr>
      <w:r w:rsidRPr="002D468A">
        <w:rPr>
          <w:color w:val="000000" w:themeColor="text1"/>
          <w:lang w:val="ro-RO" w:eastAsia="ro-MD"/>
        </w:rPr>
        <w:t>2) cu singura excepție a drepturilor de prim rang care pot fi permise, menționate la punctul 5</w:t>
      </w:r>
      <w:r w:rsidR="00A669CB" w:rsidRPr="002D468A">
        <w:rPr>
          <w:color w:val="000000" w:themeColor="text1"/>
          <w:lang w:val="ro-RO" w:eastAsia="ro-MD"/>
        </w:rPr>
        <w:t>0</w:t>
      </w:r>
      <w:r w:rsidRPr="002D468A">
        <w:rPr>
          <w:color w:val="000000" w:themeColor="text1"/>
          <w:vertAlign w:val="superscript"/>
          <w:lang w:val="ro-RO" w:eastAsia="ro-MD"/>
        </w:rPr>
        <w:t>3</w:t>
      </w:r>
      <w:r w:rsidRPr="002D468A">
        <w:rPr>
          <w:color w:val="000000" w:themeColor="text1"/>
          <w:lang w:val="ro-RO" w:eastAsia="ro-MD"/>
        </w:rPr>
        <w:t xml:space="preserve"> subpunctul 2), numai drepturile de prim rang sau privilegiile asupra garanției reale se califică drept garanții reale eligibile, iar o bancă are prioritate față de toți ceilalți creditori asupra sumelor obținute în urma executării garanției reale;</w:t>
      </w:r>
    </w:p>
    <w:p w14:paraId="61BEEAE5" w14:textId="13FD142B" w:rsidR="00962019" w:rsidRPr="002D468A" w:rsidRDefault="00962019" w:rsidP="00962019">
      <w:pPr>
        <w:ind w:firstLine="567"/>
        <w:jc w:val="both"/>
        <w:rPr>
          <w:color w:val="000000" w:themeColor="text1"/>
          <w:lang w:val="ro-RO" w:eastAsia="ro-MD"/>
        </w:rPr>
      </w:pPr>
      <w:r w:rsidRPr="002D468A">
        <w:rPr>
          <w:color w:val="000000" w:themeColor="text1"/>
          <w:lang w:val="ro-RO" w:eastAsia="ro-MD"/>
        </w:rPr>
        <w:t>3) băncile monitorizează valoarea garanției reale în mod frecvent, respectiv cel puțin anual. Frecvența de monitorizare crește în cazul în care condițiile de piață suferă modificări semnificative;</w:t>
      </w:r>
    </w:p>
    <w:p w14:paraId="74464933" w14:textId="41123231" w:rsidR="00962019" w:rsidRPr="002D468A" w:rsidRDefault="00962019" w:rsidP="00962019">
      <w:pPr>
        <w:ind w:firstLine="567"/>
        <w:jc w:val="both"/>
        <w:rPr>
          <w:color w:val="000000" w:themeColor="text1"/>
          <w:lang w:val="ro-RO" w:eastAsia="ro-MD"/>
        </w:rPr>
      </w:pPr>
      <w:r w:rsidRPr="002D468A">
        <w:rPr>
          <w:color w:val="000000" w:themeColor="text1"/>
          <w:lang w:val="ro-RO" w:eastAsia="ro-MD"/>
        </w:rPr>
        <w:t>4) contractul de credit include descrieri detaliate ale garanțiilor reale și specifică în detaliu modalitatea și frecvența reevaluării;</w:t>
      </w:r>
    </w:p>
    <w:p w14:paraId="47732CF4" w14:textId="778BEF78" w:rsidR="00962019" w:rsidRPr="002D468A" w:rsidRDefault="00962019" w:rsidP="00962019">
      <w:pPr>
        <w:ind w:firstLine="567"/>
        <w:jc w:val="both"/>
        <w:rPr>
          <w:color w:val="000000" w:themeColor="text1"/>
          <w:lang w:val="ro-RO" w:eastAsia="ro-MD"/>
        </w:rPr>
      </w:pPr>
      <w:r w:rsidRPr="002D468A">
        <w:rPr>
          <w:color w:val="000000" w:themeColor="text1"/>
          <w:lang w:val="ro-RO" w:eastAsia="ro-MD"/>
        </w:rPr>
        <w:t>5) băncile formalizează clar în cadrul politicilor și al procedurilor interne de creditare, disponibile pentru examinare, tipurile de garanții reale corporale pe care le acceptă și politicile și practicile pe care le aplică cu privire la cuantumul corespunzător fiecărui tip de garanție reală în raport cu cuantumul expunerii;</w:t>
      </w:r>
    </w:p>
    <w:p w14:paraId="28905732" w14:textId="77777777" w:rsidR="00962019" w:rsidRPr="002D468A" w:rsidRDefault="00962019" w:rsidP="00962019">
      <w:pPr>
        <w:ind w:firstLine="567"/>
        <w:jc w:val="both"/>
        <w:rPr>
          <w:color w:val="000000" w:themeColor="text1"/>
          <w:lang w:val="ro-RO" w:eastAsia="ro-MD"/>
        </w:rPr>
      </w:pPr>
      <w:r w:rsidRPr="002D468A">
        <w:rPr>
          <w:color w:val="000000" w:themeColor="text1"/>
          <w:lang w:val="ro-RO" w:eastAsia="ro-MD"/>
        </w:rPr>
        <w:t>6) politicile de creditare ale băncii cu privire la structura tranzacției stabilesc următoarele:</w:t>
      </w:r>
    </w:p>
    <w:p w14:paraId="446DE8BD" w14:textId="77777777" w:rsidR="00962019" w:rsidRPr="002D468A" w:rsidRDefault="00962019" w:rsidP="00962019">
      <w:pPr>
        <w:ind w:firstLine="567"/>
        <w:jc w:val="both"/>
        <w:rPr>
          <w:color w:val="000000" w:themeColor="text1"/>
          <w:lang w:val="ro-RO" w:eastAsia="ro-MD"/>
        </w:rPr>
      </w:pPr>
      <w:r w:rsidRPr="002D468A">
        <w:rPr>
          <w:color w:val="000000" w:themeColor="text1"/>
          <w:lang w:val="ro-RO" w:eastAsia="ro-MD"/>
        </w:rPr>
        <w:lastRenderedPageBreak/>
        <w:t>a) cerințe corespunzătoare privind garanțiile reale în raport cu cuantumul expunerii;</w:t>
      </w:r>
    </w:p>
    <w:p w14:paraId="478670C1" w14:textId="77777777" w:rsidR="00962019" w:rsidRPr="002D468A" w:rsidRDefault="00962019" w:rsidP="00962019">
      <w:pPr>
        <w:ind w:firstLine="567"/>
        <w:jc w:val="both"/>
        <w:rPr>
          <w:color w:val="000000" w:themeColor="text1"/>
          <w:lang w:val="ro-RO" w:eastAsia="ro-MD"/>
        </w:rPr>
      </w:pPr>
      <w:r w:rsidRPr="002D468A">
        <w:rPr>
          <w:color w:val="000000" w:themeColor="text1"/>
          <w:lang w:val="ro-RO" w:eastAsia="ro-MD"/>
        </w:rPr>
        <w:t>b) capacitatea de executare rapidă a garanției reale;</w:t>
      </w:r>
    </w:p>
    <w:p w14:paraId="0BA06AA4" w14:textId="77777777" w:rsidR="00962019" w:rsidRPr="002D468A" w:rsidRDefault="00962019" w:rsidP="00962019">
      <w:pPr>
        <w:ind w:firstLine="567"/>
        <w:jc w:val="both"/>
        <w:rPr>
          <w:color w:val="000000" w:themeColor="text1"/>
          <w:lang w:val="ro-RO" w:eastAsia="ro-MD"/>
        </w:rPr>
      </w:pPr>
      <w:r w:rsidRPr="002D468A">
        <w:rPr>
          <w:color w:val="000000" w:themeColor="text1"/>
          <w:lang w:val="ro-RO" w:eastAsia="ro-MD"/>
        </w:rPr>
        <w:t>c) capacitatea de a stabili un preț sau o valoare de piață în mod obiectiv;</w:t>
      </w:r>
    </w:p>
    <w:p w14:paraId="2427D6D8" w14:textId="77777777" w:rsidR="00962019" w:rsidRPr="002D468A" w:rsidRDefault="00962019" w:rsidP="00962019">
      <w:pPr>
        <w:ind w:firstLine="567"/>
        <w:jc w:val="both"/>
        <w:rPr>
          <w:color w:val="000000" w:themeColor="text1"/>
          <w:lang w:val="ro-RO" w:eastAsia="ro-MD"/>
        </w:rPr>
      </w:pPr>
      <w:r w:rsidRPr="002D468A">
        <w:rPr>
          <w:color w:val="000000" w:themeColor="text1"/>
          <w:lang w:val="ro-RO" w:eastAsia="ro-MD"/>
        </w:rPr>
        <w:t>d) frecvența cu care valoarea poate fi obținută imediat, inclusiv o apreciere sau o evaluare profesională;</w:t>
      </w:r>
    </w:p>
    <w:p w14:paraId="2769D7F7" w14:textId="0BACDDAF" w:rsidR="00962019" w:rsidRPr="002D468A" w:rsidRDefault="00962019" w:rsidP="00962019">
      <w:pPr>
        <w:ind w:firstLine="567"/>
        <w:jc w:val="both"/>
        <w:rPr>
          <w:color w:val="000000" w:themeColor="text1"/>
          <w:lang w:val="ro-RO" w:eastAsia="ro-MD"/>
        </w:rPr>
      </w:pPr>
      <w:r w:rsidRPr="002D468A">
        <w:rPr>
          <w:color w:val="000000" w:themeColor="text1"/>
          <w:lang w:val="ro-RO" w:eastAsia="ro-MD"/>
        </w:rPr>
        <w:t>e) volatilitatea sau un indicator de aproximare a volatilității valorii garanției reale.</w:t>
      </w:r>
    </w:p>
    <w:p w14:paraId="228EDAC0" w14:textId="63DF71F3" w:rsidR="00962019" w:rsidRPr="002D468A" w:rsidRDefault="00962019" w:rsidP="00962019">
      <w:pPr>
        <w:ind w:firstLine="567"/>
        <w:jc w:val="both"/>
        <w:rPr>
          <w:color w:val="000000" w:themeColor="text1"/>
          <w:lang w:val="ro-RO" w:eastAsia="ro-MD"/>
        </w:rPr>
      </w:pPr>
      <w:r w:rsidRPr="002D468A">
        <w:rPr>
          <w:color w:val="000000" w:themeColor="text1"/>
          <w:lang w:val="ro-RO" w:eastAsia="ro-MD"/>
        </w:rPr>
        <w:t>7) atunci când efectuează o evaluare sau o reevaluare, băncile țin seama pe deplin de orice deteriorare sau uzură morală a garanției reale, acordând o atenție deosebită efectelor trecerii timpului asupra garanțiilor reale sensibile la uzura morală; în cazul garanțiilor reale corporale, uzura morală a garanției reale include, de asemenea, considerații de evaluare legate de riscuri de mediu, sociale și de guvernanță referitoare la interdicții sau limitări impuse de obiectivele de reglementare și actele juridice relevante, precum și, dacă este relevant pentru băncile active la nivel internațional, de obiectivele juridice și de reglementare ale țărilor terțe;</w:t>
      </w:r>
    </w:p>
    <w:p w14:paraId="5D6ABE2E" w14:textId="2EF26801" w:rsidR="00962019" w:rsidRPr="002D468A" w:rsidRDefault="00962019" w:rsidP="00962019">
      <w:pPr>
        <w:ind w:firstLine="567"/>
        <w:jc w:val="both"/>
        <w:rPr>
          <w:color w:val="000000" w:themeColor="text1"/>
          <w:lang w:val="ro-RO" w:eastAsia="ro-MD"/>
        </w:rPr>
      </w:pPr>
      <w:r w:rsidRPr="002D468A">
        <w:rPr>
          <w:color w:val="000000" w:themeColor="text1"/>
          <w:lang w:val="ro-RO" w:eastAsia="ro-MD"/>
        </w:rPr>
        <w:t>8) băncile au dreptul de a efectua o inspecție fizică a garanției reale. Acestea dispun, de asemenea, de politici și proceduri care stabilesc modul de exercitare a dreptului de inspecție fizică;</w:t>
      </w:r>
    </w:p>
    <w:p w14:paraId="630EE105" w14:textId="6B944A82" w:rsidR="00962019" w:rsidRPr="002D468A" w:rsidRDefault="00962019" w:rsidP="00962019">
      <w:pPr>
        <w:ind w:firstLine="567"/>
        <w:jc w:val="both"/>
        <w:rPr>
          <w:color w:val="000000" w:themeColor="text1"/>
          <w:lang w:val="ro-RO" w:eastAsia="ro-MD"/>
        </w:rPr>
      </w:pPr>
      <w:r w:rsidRPr="002D468A">
        <w:rPr>
          <w:color w:val="000000" w:themeColor="text1"/>
          <w:lang w:val="ro-RO" w:eastAsia="ro-MD"/>
        </w:rPr>
        <w:t>9) garanția reală acceptată ca protecție este asigurată în mod adecvat împotriva riscului de daune, iar băncile dispun de proceduri de monitorizare a acestui fapt.</w:t>
      </w:r>
    </w:p>
    <w:p w14:paraId="4CDB75C0" w14:textId="24E2CC88" w:rsidR="00962019" w:rsidRPr="002D468A" w:rsidRDefault="00962019" w:rsidP="00962019">
      <w:pPr>
        <w:jc w:val="both"/>
        <w:rPr>
          <w:color w:val="000000" w:themeColor="text1"/>
          <w:lang w:val="ro-RO" w:eastAsia="ro-MD"/>
        </w:rPr>
      </w:pPr>
      <w:r w:rsidRPr="002D468A">
        <w:rPr>
          <w:b/>
          <w:bCs/>
          <w:color w:val="000000" w:themeColor="text1"/>
          <w:lang w:val="ro-RO" w:eastAsia="ro-MD"/>
        </w:rPr>
        <w:t>50</w:t>
      </w:r>
      <w:r w:rsidRPr="002D468A">
        <w:rPr>
          <w:b/>
          <w:bCs/>
          <w:color w:val="000000" w:themeColor="text1"/>
          <w:vertAlign w:val="superscript"/>
          <w:lang w:val="ro-RO" w:eastAsia="ro-MD"/>
        </w:rPr>
        <w:t>6</w:t>
      </w:r>
      <w:r w:rsidRPr="002D468A">
        <w:rPr>
          <w:b/>
          <w:bCs/>
          <w:color w:val="000000" w:themeColor="text1"/>
          <w:lang w:val="ro-RO" w:eastAsia="ro-MD"/>
        </w:rPr>
        <w:t>.</w:t>
      </w:r>
      <w:r w:rsidRPr="002D468A">
        <w:rPr>
          <w:color w:val="000000" w:themeColor="text1"/>
          <w:lang w:val="ro-RO" w:eastAsia="ro-MD"/>
        </w:rPr>
        <w:t xml:space="preserve"> În cazul în care contractele de garanție generală sau alte forme de garanții constituite asupra unei universalități de bunuri oferă băncii creditoare o creanță înregistrată asupra activelor unei societăți și în cazul în care creanța respectivă conține atât active care nu sunt eligibile drept garanții reale în cadrul abordării IRB, cât și active care sunt eligibile drept garanții reale în cadrul abordării IRB, banca le poate recunoaște pe acestea din urmă drept protecție finanțată a creditului eligibilă. În acest caz, recunoașterea este condiționată de îndeplinirea de către activele respective a cerințelor de eligibilitate a garanțiilor reale în cadrul abordării IRB, astfel cum se prevede în prezentul regulament.</w:t>
      </w:r>
    </w:p>
    <w:p w14:paraId="1A412709" w14:textId="77777777" w:rsidR="00962019" w:rsidRPr="002D468A" w:rsidRDefault="00962019" w:rsidP="00962019">
      <w:pPr>
        <w:jc w:val="both"/>
        <w:rPr>
          <w:color w:val="000000" w:themeColor="text1"/>
          <w:lang w:val="ro-RO" w:eastAsia="ro-MD"/>
        </w:rPr>
      </w:pPr>
      <w:r w:rsidRPr="002D468A">
        <w:rPr>
          <w:b/>
          <w:bCs/>
          <w:color w:val="000000" w:themeColor="text1"/>
          <w:lang w:val="ro-RO" w:eastAsia="ro-MD"/>
        </w:rPr>
        <w:t>50</w:t>
      </w:r>
      <w:r w:rsidRPr="002D468A">
        <w:rPr>
          <w:b/>
          <w:bCs/>
          <w:color w:val="000000" w:themeColor="text1"/>
          <w:vertAlign w:val="superscript"/>
          <w:lang w:val="ro-RO" w:eastAsia="ro-MD"/>
        </w:rPr>
        <w:t>7</w:t>
      </w:r>
      <w:r w:rsidRPr="002D468A">
        <w:rPr>
          <w:b/>
          <w:bCs/>
          <w:color w:val="000000" w:themeColor="text1"/>
          <w:lang w:val="ro-RO" w:eastAsia="ro-MD"/>
        </w:rPr>
        <w:t>.</w:t>
      </w:r>
      <w:r w:rsidRPr="002D468A">
        <w:rPr>
          <w:color w:val="000000" w:themeColor="text1"/>
          <w:lang w:val="ro-RO" w:eastAsia="ro-MD"/>
        </w:rPr>
        <w:t xml:space="preserve"> Băncile trebuie să trateze expunerile care decurg din operațiuni de leasing ca fiind garantate cu tipul de bun dat în leasing, dacă sunt îndeplinite cumulativ următoarele condiții:</w:t>
      </w:r>
    </w:p>
    <w:p w14:paraId="50834768" w14:textId="48E58FF1" w:rsidR="00962019" w:rsidRPr="000742E5" w:rsidRDefault="00962019" w:rsidP="00962019">
      <w:pPr>
        <w:ind w:firstLine="567"/>
        <w:jc w:val="both"/>
        <w:rPr>
          <w:color w:val="000000" w:themeColor="text1"/>
          <w:lang w:val="ro-RO" w:eastAsia="ro-MD"/>
        </w:rPr>
      </w:pPr>
      <w:r w:rsidRPr="002D468A">
        <w:rPr>
          <w:color w:val="000000" w:themeColor="text1"/>
          <w:lang w:val="ro-RO" w:eastAsia="ro-MD"/>
        </w:rPr>
        <w:t>1) condițiile stabilite la punctul 5</w:t>
      </w:r>
      <w:r w:rsidR="00A669CB" w:rsidRPr="002D468A">
        <w:rPr>
          <w:color w:val="000000" w:themeColor="text1"/>
          <w:lang w:val="ro-RO" w:eastAsia="ro-MD"/>
        </w:rPr>
        <w:t>0</w:t>
      </w:r>
      <w:r w:rsidRPr="002D468A">
        <w:rPr>
          <w:color w:val="000000" w:themeColor="text1"/>
          <w:vertAlign w:val="superscript"/>
          <w:lang w:val="ro-RO" w:eastAsia="ro-MD"/>
        </w:rPr>
        <w:t>1</w:t>
      </w:r>
      <w:r w:rsidRPr="002D468A">
        <w:rPr>
          <w:color w:val="000000" w:themeColor="text1"/>
          <w:lang w:val="ro-RO" w:eastAsia="ro-MD"/>
        </w:rPr>
        <w:t xml:space="preserve"> sau punctele 5</w:t>
      </w:r>
      <w:r w:rsidR="00A669CB" w:rsidRPr="002D468A">
        <w:rPr>
          <w:color w:val="000000" w:themeColor="text1"/>
          <w:lang w:val="ro-RO" w:eastAsia="ro-MD"/>
        </w:rPr>
        <w:t>0</w:t>
      </w:r>
      <w:r w:rsidRPr="002D468A">
        <w:rPr>
          <w:color w:val="000000" w:themeColor="text1"/>
          <w:vertAlign w:val="superscript"/>
          <w:lang w:val="ro-RO" w:eastAsia="ro-MD"/>
        </w:rPr>
        <w:t>5</w:t>
      </w:r>
      <w:r w:rsidRPr="002D468A">
        <w:rPr>
          <w:color w:val="000000" w:themeColor="text1"/>
          <w:lang w:val="ro-RO" w:eastAsia="ro-MD"/>
        </w:rPr>
        <w:t>-5</w:t>
      </w:r>
      <w:r w:rsidR="00A669CB" w:rsidRPr="002D468A">
        <w:rPr>
          <w:color w:val="000000" w:themeColor="text1"/>
          <w:lang w:val="ro-RO" w:eastAsia="ro-MD"/>
        </w:rPr>
        <w:t>0</w:t>
      </w:r>
      <w:r w:rsidRPr="002D468A">
        <w:rPr>
          <w:color w:val="000000" w:themeColor="text1"/>
          <w:vertAlign w:val="superscript"/>
          <w:lang w:val="ro-RO" w:eastAsia="ro-MD"/>
        </w:rPr>
        <w:t>6</w:t>
      </w:r>
      <w:r w:rsidRPr="002D468A">
        <w:rPr>
          <w:color w:val="000000" w:themeColor="text1"/>
          <w:lang w:val="ro-RO" w:eastAsia="ro-MD"/>
        </w:rPr>
        <w:t xml:space="preserve">, după caz, </w:t>
      </w:r>
      <w:r w:rsidR="004501D4" w:rsidRPr="002D468A">
        <w:rPr>
          <w:color w:val="000000" w:themeColor="text1"/>
          <w:lang w:val="ro-RO" w:eastAsia="ro-MD"/>
        </w:rPr>
        <w:t xml:space="preserve">sunt îndeplinite </w:t>
      </w:r>
      <w:r w:rsidRPr="002D468A">
        <w:rPr>
          <w:color w:val="000000" w:themeColor="text1"/>
          <w:lang w:val="ro-RO" w:eastAsia="ro-MD"/>
        </w:rPr>
        <w:t>pentru ca tipul de bun dat în leasing să se califice drept garanție reală eligibilă;</w:t>
      </w:r>
    </w:p>
    <w:p w14:paraId="57573107" w14:textId="7D952329" w:rsidR="00962019" w:rsidRPr="002D468A" w:rsidRDefault="00962019" w:rsidP="00962019">
      <w:pPr>
        <w:ind w:firstLine="567"/>
        <w:jc w:val="both"/>
        <w:rPr>
          <w:color w:val="000000" w:themeColor="text1"/>
          <w:lang w:val="ro-RO" w:eastAsia="ro-MD"/>
        </w:rPr>
      </w:pPr>
      <w:r w:rsidRPr="002D468A">
        <w:rPr>
          <w:color w:val="000000" w:themeColor="text1"/>
          <w:lang w:val="ro-RO" w:eastAsia="ro-MD"/>
        </w:rPr>
        <w:t>2) locatorul efectuează o gestionare riguroasă a riscurilor, care ține seama de modul de utilizare a activului dat în leasing, de locul în care este amplasat acesta, de vechimea sa, precum și de durata planificată de utilizare, inclusiv o monitorizare adecvată a valorii activului;</w:t>
      </w:r>
    </w:p>
    <w:p w14:paraId="4700C7FD" w14:textId="7FDFD1EF" w:rsidR="00962019" w:rsidRPr="002D468A" w:rsidRDefault="00962019" w:rsidP="00962019">
      <w:pPr>
        <w:ind w:firstLine="567"/>
        <w:jc w:val="both"/>
        <w:rPr>
          <w:color w:val="000000" w:themeColor="text1"/>
          <w:lang w:val="ro-RO" w:eastAsia="ro-MD"/>
        </w:rPr>
      </w:pPr>
      <w:r w:rsidRPr="002D468A">
        <w:rPr>
          <w:color w:val="000000" w:themeColor="text1"/>
          <w:lang w:val="ro-RO" w:eastAsia="ro-MD"/>
        </w:rPr>
        <w:t>3) locatorul are drept de proprietate asupra activului și poate să-și exercite drepturile de proprietar în timp util;</w:t>
      </w:r>
    </w:p>
    <w:p w14:paraId="16A902AD" w14:textId="4C0B8DFD" w:rsidR="007B1AF8" w:rsidRPr="002D468A" w:rsidRDefault="00962019" w:rsidP="00981ED0">
      <w:pPr>
        <w:ind w:firstLine="567"/>
        <w:jc w:val="both"/>
        <w:rPr>
          <w:color w:val="000000" w:themeColor="text1"/>
          <w:lang w:val="ro-MD"/>
        </w:rPr>
      </w:pPr>
      <w:r w:rsidRPr="002D468A">
        <w:rPr>
          <w:color w:val="000000" w:themeColor="text1"/>
          <w:lang w:val="ro-RO" w:eastAsia="ro-MD"/>
        </w:rPr>
        <w:t>4) dacă acest fapt nu a fost deja avut în vedere la calculul nivelului pierderii în caz de nerambursare, diferența dintre cuantumul neamortizat și valoarea de piață a activului nu este atât de mare încât să supraestimeze efectul de diminuare a riscului de credit atribuit activelor date în leasing.</w:t>
      </w:r>
      <w:r w:rsidR="00631072" w:rsidRPr="002D468A">
        <w:rPr>
          <w:color w:val="000000" w:themeColor="text1"/>
          <w:lang w:val="ro-MD"/>
        </w:rPr>
        <w:t>”.</w:t>
      </w:r>
    </w:p>
    <w:p w14:paraId="26654671" w14:textId="009EFF98" w:rsidR="00715C5E" w:rsidRPr="002D468A" w:rsidRDefault="00750B3B" w:rsidP="008F595B">
      <w:pPr>
        <w:pStyle w:val="ListParagraph"/>
        <w:numPr>
          <w:ilvl w:val="1"/>
          <w:numId w:val="27"/>
        </w:numPr>
        <w:tabs>
          <w:tab w:val="left" w:pos="567"/>
        </w:tabs>
        <w:spacing w:before="80"/>
        <w:ind w:left="0" w:firstLine="567"/>
        <w:contextualSpacing w:val="0"/>
        <w:jc w:val="both"/>
        <w:rPr>
          <w:color w:val="000000" w:themeColor="text1"/>
          <w:lang w:val="ro-MD"/>
        </w:rPr>
      </w:pPr>
      <w:r w:rsidRPr="002D468A">
        <w:rPr>
          <w:color w:val="000000" w:themeColor="text1"/>
          <w:lang w:val="ro-MD"/>
        </w:rPr>
        <w:t>Se completează cu punctul 51</w:t>
      </w:r>
      <w:r w:rsidRPr="002D468A">
        <w:rPr>
          <w:color w:val="000000" w:themeColor="text1"/>
          <w:vertAlign w:val="superscript"/>
          <w:lang w:val="ro-MD"/>
        </w:rPr>
        <w:t>1</w:t>
      </w:r>
      <w:r w:rsidRPr="002D468A">
        <w:rPr>
          <w:color w:val="000000" w:themeColor="text1"/>
          <w:lang w:val="ro-MD"/>
        </w:rPr>
        <w:t xml:space="preserve"> cu</w:t>
      </w:r>
      <w:r w:rsidR="002D061D" w:rsidRPr="002D468A">
        <w:rPr>
          <w:color w:val="000000" w:themeColor="text1"/>
          <w:lang w:val="ro-MD"/>
        </w:rPr>
        <w:t xml:space="preserve"> următorul cuprins:</w:t>
      </w:r>
    </w:p>
    <w:p w14:paraId="1A5A01C9" w14:textId="77777777" w:rsidR="00F3090A" w:rsidRPr="002D468A" w:rsidRDefault="002D061D" w:rsidP="00F3090A">
      <w:pPr>
        <w:jc w:val="both"/>
        <w:rPr>
          <w:color w:val="000000" w:themeColor="text1"/>
          <w:lang w:val="ro-RO" w:eastAsia="ro-MD"/>
        </w:rPr>
      </w:pPr>
      <w:r w:rsidRPr="002D468A">
        <w:rPr>
          <w:color w:val="000000" w:themeColor="text1"/>
          <w:lang w:val="ro-MD"/>
        </w:rPr>
        <w:t>„</w:t>
      </w:r>
      <w:r w:rsidR="00F3090A" w:rsidRPr="002D468A">
        <w:rPr>
          <w:b/>
          <w:bCs/>
          <w:color w:val="000000" w:themeColor="text1"/>
          <w:lang w:val="ro-RO" w:eastAsia="ro-MD"/>
        </w:rPr>
        <w:t>51</w:t>
      </w:r>
      <w:r w:rsidR="00F3090A" w:rsidRPr="002D468A">
        <w:rPr>
          <w:b/>
          <w:bCs/>
          <w:color w:val="000000" w:themeColor="text1"/>
          <w:vertAlign w:val="superscript"/>
          <w:lang w:val="ro-RO" w:eastAsia="ro-MD"/>
        </w:rPr>
        <w:t>1</w:t>
      </w:r>
      <w:r w:rsidR="00F3090A" w:rsidRPr="002D468A">
        <w:rPr>
          <w:b/>
          <w:bCs/>
          <w:color w:val="000000" w:themeColor="text1"/>
          <w:lang w:val="ro-RO" w:eastAsia="ro-MD"/>
        </w:rPr>
        <w:t>.</w:t>
      </w:r>
      <w:r w:rsidR="00F3090A" w:rsidRPr="002D468A">
        <w:rPr>
          <w:color w:val="000000" w:themeColor="text1"/>
          <w:lang w:val="ro-RO" w:eastAsia="ro-MD"/>
        </w:rPr>
        <w:t xml:space="preserve"> Polițele de asigurare de viață gajate în favoarea băncii creditoare se califică drept garanții reale eligibile, dacă sunt îndeplinite cumulativ următoarele condiții:</w:t>
      </w:r>
    </w:p>
    <w:p w14:paraId="0A03332C" w14:textId="008B2350" w:rsidR="00F3090A" w:rsidRPr="002D468A" w:rsidRDefault="00F3090A" w:rsidP="00F3090A">
      <w:pPr>
        <w:ind w:firstLine="567"/>
        <w:jc w:val="both"/>
        <w:rPr>
          <w:color w:val="000000" w:themeColor="text1"/>
          <w:lang w:val="ro-RO" w:eastAsia="ro-MD"/>
        </w:rPr>
      </w:pPr>
      <w:r w:rsidRPr="002D468A">
        <w:rPr>
          <w:color w:val="000000" w:themeColor="text1"/>
          <w:lang w:val="ro-RO" w:eastAsia="ro-MD"/>
        </w:rPr>
        <w:t xml:space="preserve">1) polița de asigurare de viață este, în mod transparent, gajată în favoarea </w:t>
      </w:r>
      <w:r w:rsidR="006319A3" w:rsidRPr="002D468A">
        <w:rPr>
          <w:color w:val="000000" w:themeColor="text1"/>
          <w:lang w:val="ro-RO" w:eastAsia="ro-MD"/>
        </w:rPr>
        <w:t>băncii</w:t>
      </w:r>
      <w:r w:rsidRPr="002D468A">
        <w:rPr>
          <w:color w:val="000000" w:themeColor="text1"/>
          <w:lang w:val="ro-RO" w:eastAsia="ro-MD"/>
        </w:rPr>
        <w:t xml:space="preserve"> creditoare sau cesionată acesteia;</w:t>
      </w:r>
    </w:p>
    <w:p w14:paraId="37CEC679" w14:textId="1FF9AF2E" w:rsidR="00F3090A" w:rsidRPr="002D468A" w:rsidRDefault="00F3090A" w:rsidP="00F3090A">
      <w:pPr>
        <w:ind w:firstLine="567"/>
        <w:jc w:val="both"/>
        <w:rPr>
          <w:color w:val="000000" w:themeColor="text1"/>
          <w:lang w:val="ro-RO" w:eastAsia="ro-MD"/>
        </w:rPr>
      </w:pPr>
      <w:r w:rsidRPr="002D468A">
        <w:rPr>
          <w:color w:val="000000" w:themeColor="text1"/>
          <w:lang w:val="ro-RO" w:eastAsia="ro-MD"/>
        </w:rPr>
        <w:t>2) societatea care furnizează asigurarea de viață este notificată în legătură cu gajul sau cesiunea și, în urma notificării, nu poate plăti sumele exigibile în baza contractului fără acordul prealabil al băncii creditoare;</w:t>
      </w:r>
    </w:p>
    <w:p w14:paraId="12A0DF3C" w14:textId="1CAECE0B" w:rsidR="00F3090A" w:rsidRPr="002D468A" w:rsidRDefault="00F3090A" w:rsidP="00F3090A">
      <w:pPr>
        <w:ind w:firstLine="567"/>
        <w:jc w:val="both"/>
        <w:rPr>
          <w:color w:val="000000" w:themeColor="text1"/>
          <w:lang w:val="ro-RO" w:eastAsia="ro-MD"/>
        </w:rPr>
      </w:pPr>
      <w:r w:rsidRPr="002D468A">
        <w:rPr>
          <w:color w:val="000000" w:themeColor="text1"/>
          <w:lang w:val="ro-RO" w:eastAsia="ro-MD"/>
        </w:rPr>
        <w:t>3) banca creditoare are dreptul de a anula polița și de a primi valoarea de răscumpărare în cazul în care debitorul se află în stare de nerambursare;</w:t>
      </w:r>
    </w:p>
    <w:p w14:paraId="40A0BB04" w14:textId="2218F165" w:rsidR="00F3090A" w:rsidRPr="002D468A" w:rsidRDefault="00F3090A" w:rsidP="00F3090A">
      <w:pPr>
        <w:ind w:firstLine="567"/>
        <w:jc w:val="both"/>
        <w:rPr>
          <w:color w:val="000000" w:themeColor="text1"/>
          <w:lang w:val="ro-RO" w:eastAsia="ro-MD"/>
        </w:rPr>
      </w:pPr>
      <w:r w:rsidRPr="002D468A">
        <w:rPr>
          <w:color w:val="000000" w:themeColor="text1"/>
          <w:lang w:val="ro-RO" w:eastAsia="ro-MD"/>
        </w:rPr>
        <w:t>4) banca creditoare este informată în legătură cu orice plăți neefectuate de deținătorul poliței și care sunt corespunzătoare acesteia;</w:t>
      </w:r>
    </w:p>
    <w:p w14:paraId="71336776" w14:textId="5207E7E9" w:rsidR="00F3090A" w:rsidRPr="002D468A" w:rsidRDefault="00F3090A" w:rsidP="00F3090A">
      <w:pPr>
        <w:ind w:firstLine="567"/>
        <w:jc w:val="both"/>
        <w:rPr>
          <w:color w:val="000000" w:themeColor="text1"/>
          <w:lang w:val="ro-RO" w:eastAsia="ro-MD"/>
        </w:rPr>
      </w:pPr>
      <w:r w:rsidRPr="002D468A">
        <w:rPr>
          <w:color w:val="000000" w:themeColor="text1"/>
          <w:lang w:val="ro-RO" w:eastAsia="ro-MD"/>
        </w:rPr>
        <w:lastRenderedPageBreak/>
        <w:t>5) protecția creditului este furnizată până la scadența creditului. Dacă acest lucru nu este posibil deoarece asigurarea încetează înainte de expirarea duratei creditului, banca se asigură că suma care decurge din contractul de asigurare îi servește drept garanție până la sfârșitul duratei contractului de credit;</w:t>
      </w:r>
    </w:p>
    <w:p w14:paraId="5C14FFFE" w14:textId="41F47066" w:rsidR="00F3090A" w:rsidRPr="002D468A" w:rsidRDefault="00F3090A" w:rsidP="00F3090A">
      <w:pPr>
        <w:ind w:firstLine="567"/>
        <w:jc w:val="both"/>
        <w:rPr>
          <w:color w:val="000000" w:themeColor="text1"/>
          <w:lang w:val="ro-RO" w:eastAsia="ro-MD"/>
        </w:rPr>
      </w:pPr>
      <w:r w:rsidRPr="002D468A">
        <w:rPr>
          <w:color w:val="000000" w:themeColor="text1"/>
          <w:lang w:val="ro-RO" w:eastAsia="ro-MD"/>
        </w:rPr>
        <w:t>6) gajul sau cesiunea sunt valide din punct de vedere legal și au caracter executoriu din punct de vedere juridic în toate jurisdicțiile relevante la momentul încheierii contractului de credit;</w:t>
      </w:r>
    </w:p>
    <w:p w14:paraId="2CADA34B" w14:textId="22A7B778" w:rsidR="00F3090A" w:rsidRPr="002D468A" w:rsidRDefault="00F3090A" w:rsidP="00F3090A">
      <w:pPr>
        <w:ind w:firstLine="567"/>
        <w:jc w:val="both"/>
        <w:rPr>
          <w:color w:val="000000" w:themeColor="text1"/>
          <w:lang w:val="ro-RO" w:eastAsia="ro-MD"/>
        </w:rPr>
      </w:pPr>
      <w:r w:rsidRPr="002D468A">
        <w:rPr>
          <w:color w:val="000000" w:themeColor="text1"/>
          <w:lang w:val="ro-RO" w:eastAsia="ro-MD"/>
        </w:rPr>
        <w:t>7) valoarea de răscumpărare este declarată de societatea care furnizează asigurarea de viață și nu este reductibilă;</w:t>
      </w:r>
    </w:p>
    <w:p w14:paraId="1C5E3CEE" w14:textId="5B2E0B96" w:rsidR="00F3090A" w:rsidRPr="002D468A" w:rsidRDefault="00F3090A" w:rsidP="00F3090A">
      <w:pPr>
        <w:ind w:firstLine="567"/>
        <w:jc w:val="both"/>
        <w:rPr>
          <w:color w:val="000000" w:themeColor="text1"/>
          <w:lang w:val="ro-RO" w:eastAsia="ro-MD"/>
        </w:rPr>
      </w:pPr>
      <w:r w:rsidRPr="002D468A">
        <w:rPr>
          <w:color w:val="000000" w:themeColor="text1"/>
          <w:lang w:val="ro-RO" w:eastAsia="ro-MD"/>
        </w:rPr>
        <w:t>8) valoarea de răscumpărare trebuie plătită în timp util, la cerere, de către societatea care furnizează asigurarea de viață;</w:t>
      </w:r>
    </w:p>
    <w:p w14:paraId="66543147" w14:textId="0848113F" w:rsidR="00F3090A" w:rsidRPr="002D468A" w:rsidRDefault="00F3090A" w:rsidP="00F3090A">
      <w:pPr>
        <w:ind w:firstLine="567"/>
        <w:jc w:val="both"/>
        <w:rPr>
          <w:color w:val="000000" w:themeColor="text1"/>
          <w:lang w:val="ro-RO" w:eastAsia="ro-MD"/>
        </w:rPr>
      </w:pPr>
      <w:r w:rsidRPr="002D468A">
        <w:rPr>
          <w:color w:val="000000" w:themeColor="text1"/>
          <w:lang w:val="ro-RO" w:eastAsia="ro-MD"/>
        </w:rPr>
        <w:t>9) valoarea de răscumpărare nu poate fi solicitată fără acordul prealabil al băncii;</w:t>
      </w:r>
    </w:p>
    <w:p w14:paraId="027F8F8F" w14:textId="2D4D9B6F" w:rsidR="002D061D" w:rsidRPr="002D468A" w:rsidRDefault="00F3090A" w:rsidP="00F3090A">
      <w:pPr>
        <w:ind w:firstLine="567"/>
        <w:jc w:val="both"/>
        <w:rPr>
          <w:color w:val="000000" w:themeColor="text1"/>
          <w:lang w:val="ro-MD"/>
        </w:rPr>
      </w:pPr>
      <w:r w:rsidRPr="002D468A">
        <w:rPr>
          <w:color w:val="000000" w:themeColor="text1"/>
          <w:lang w:val="ro-RO" w:eastAsia="ro-MD"/>
        </w:rPr>
        <w:t>10) societatea care furnizează asigurarea de viață intră sub incidența Legii nr.92/2022 privind activitatea de asigurare sau de reasigurare sau este supusă supravegherii efectuate de o autoritate competentă a unei țări terțe care aplică norme de supraveghere și reglementare cel puțin echivalente cu cele aplicate în Republica Moldova.</w:t>
      </w:r>
      <w:r w:rsidR="00AB095D" w:rsidRPr="002D468A">
        <w:rPr>
          <w:color w:val="000000" w:themeColor="text1"/>
          <w:lang w:val="ro-RO" w:eastAsia="ro-MD"/>
        </w:rPr>
        <w:t>”.</w:t>
      </w:r>
    </w:p>
    <w:p w14:paraId="7070EA10" w14:textId="2757C527" w:rsidR="002C0BFB" w:rsidRPr="002D468A" w:rsidRDefault="002C0BFB" w:rsidP="005C236D">
      <w:pPr>
        <w:pStyle w:val="ListParagraph"/>
        <w:numPr>
          <w:ilvl w:val="1"/>
          <w:numId w:val="27"/>
        </w:numPr>
        <w:tabs>
          <w:tab w:val="left" w:pos="567"/>
        </w:tabs>
        <w:spacing w:before="80"/>
        <w:ind w:left="0" w:firstLine="567"/>
        <w:contextualSpacing w:val="0"/>
        <w:jc w:val="both"/>
        <w:rPr>
          <w:color w:val="000000" w:themeColor="text1"/>
          <w:lang w:val="ro-MD"/>
        </w:rPr>
      </w:pPr>
      <w:r w:rsidRPr="002D468A">
        <w:rPr>
          <w:color w:val="000000" w:themeColor="text1"/>
          <w:lang w:val="ro-MD"/>
        </w:rPr>
        <w:t>La punctul 53 subpunctul 3):</w:t>
      </w:r>
    </w:p>
    <w:p w14:paraId="5D127549" w14:textId="532C66A3" w:rsidR="002C0BFB" w:rsidRPr="002D468A" w:rsidRDefault="00FA5770" w:rsidP="005F73A6">
      <w:pPr>
        <w:pStyle w:val="ListParagraph"/>
        <w:numPr>
          <w:ilvl w:val="2"/>
          <w:numId w:val="27"/>
        </w:numPr>
        <w:tabs>
          <w:tab w:val="left" w:pos="567"/>
        </w:tabs>
        <w:spacing w:before="80"/>
        <w:ind w:left="0" w:firstLine="567"/>
        <w:contextualSpacing w:val="0"/>
        <w:jc w:val="both"/>
        <w:rPr>
          <w:color w:val="000000" w:themeColor="text1"/>
          <w:lang w:val="ro-MD"/>
        </w:rPr>
      </w:pPr>
      <w:r w:rsidRPr="002D468A">
        <w:rPr>
          <w:color w:val="000000" w:themeColor="text1"/>
          <w:lang w:val="ro-MD"/>
        </w:rPr>
        <w:t xml:space="preserve">în </w:t>
      </w:r>
      <w:r w:rsidR="00BC0117" w:rsidRPr="002D468A">
        <w:rPr>
          <w:color w:val="000000" w:themeColor="text1"/>
          <w:lang w:val="ro-MD"/>
        </w:rPr>
        <w:t>partea introductivă</w:t>
      </w:r>
      <w:r w:rsidR="006952B7" w:rsidRPr="002D468A">
        <w:rPr>
          <w:color w:val="000000" w:themeColor="text1"/>
          <w:lang w:val="ro-MD"/>
        </w:rPr>
        <w:t>,</w:t>
      </w:r>
      <w:r w:rsidR="00BC0117" w:rsidRPr="002D468A">
        <w:rPr>
          <w:color w:val="000000" w:themeColor="text1"/>
          <w:lang w:val="ro-MD"/>
        </w:rPr>
        <w:t xml:space="preserve"> </w:t>
      </w:r>
      <w:r w:rsidRPr="002D468A">
        <w:rPr>
          <w:color w:val="000000" w:themeColor="text1"/>
          <w:lang w:val="ro-MD"/>
        </w:rPr>
        <w:t>cuvântul „băncii” se completează cu cuvântul „creditoare”;</w:t>
      </w:r>
    </w:p>
    <w:p w14:paraId="71FA047B" w14:textId="1640ABAE" w:rsidR="00FA5770" w:rsidRPr="002D468A" w:rsidRDefault="009168DD" w:rsidP="005F73A6">
      <w:pPr>
        <w:pStyle w:val="ListParagraph"/>
        <w:numPr>
          <w:ilvl w:val="2"/>
          <w:numId w:val="27"/>
        </w:numPr>
        <w:tabs>
          <w:tab w:val="left" w:pos="567"/>
        </w:tabs>
        <w:spacing w:before="80"/>
        <w:ind w:left="0" w:firstLine="567"/>
        <w:contextualSpacing w:val="0"/>
        <w:jc w:val="both"/>
        <w:rPr>
          <w:color w:val="000000" w:themeColor="text1"/>
          <w:lang w:val="ro-MD"/>
        </w:rPr>
      </w:pPr>
      <w:r w:rsidRPr="002D468A">
        <w:rPr>
          <w:color w:val="000000" w:themeColor="text1"/>
          <w:lang w:val="ro-MD"/>
        </w:rPr>
        <w:t>litera a)</w:t>
      </w:r>
      <w:r w:rsidR="006952B7" w:rsidRPr="002D468A">
        <w:rPr>
          <w:color w:val="000000" w:themeColor="text1"/>
          <w:lang w:val="ro-MD"/>
        </w:rPr>
        <w:t>,</w:t>
      </w:r>
      <w:r w:rsidRPr="002D468A">
        <w:rPr>
          <w:color w:val="000000" w:themeColor="text1"/>
          <w:lang w:val="ro-MD"/>
        </w:rPr>
        <w:t xml:space="preserve"> </w:t>
      </w:r>
      <w:r w:rsidR="00BC0117" w:rsidRPr="002D468A">
        <w:rPr>
          <w:color w:val="000000" w:themeColor="text1"/>
          <w:lang w:val="ro-MD"/>
        </w:rPr>
        <w:t xml:space="preserve">după </w:t>
      </w:r>
      <w:r w:rsidRPr="002D468A">
        <w:rPr>
          <w:color w:val="000000" w:themeColor="text1"/>
          <w:lang w:val="ro-MD"/>
        </w:rPr>
        <w:t>cuvintele „să denunțe” se completează cu cuvintele „sau să modifice”;</w:t>
      </w:r>
    </w:p>
    <w:p w14:paraId="01A22650" w14:textId="04926F07" w:rsidR="009168DD" w:rsidRPr="002D468A" w:rsidRDefault="009168DD" w:rsidP="005F73A6">
      <w:pPr>
        <w:pStyle w:val="ListParagraph"/>
        <w:numPr>
          <w:ilvl w:val="2"/>
          <w:numId w:val="27"/>
        </w:numPr>
        <w:tabs>
          <w:tab w:val="left" w:pos="567"/>
        </w:tabs>
        <w:spacing w:before="80"/>
        <w:ind w:left="0" w:firstLine="567"/>
        <w:contextualSpacing w:val="0"/>
        <w:jc w:val="both"/>
        <w:rPr>
          <w:color w:val="000000" w:themeColor="text1"/>
          <w:lang w:val="ro-MD"/>
        </w:rPr>
      </w:pPr>
      <w:r w:rsidRPr="002D468A">
        <w:rPr>
          <w:color w:val="000000" w:themeColor="text1"/>
          <w:lang w:val="ro-MD"/>
        </w:rPr>
        <w:t>litera b)</w:t>
      </w:r>
      <w:r w:rsidR="006952B7" w:rsidRPr="002D468A">
        <w:rPr>
          <w:color w:val="000000" w:themeColor="text1"/>
          <w:lang w:val="ro-MD"/>
        </w:rPr>
        <w:t>,</w:t>
      </w:r>
      <w:r w:rsidRPr="002D468A">
        <w:rPr>
          <w:color w:val="000000" w:themeColor="text1"/>
          <w:lang w:val="ro-MD"/>
        </w:rPr>
        <w:t xml:space="preserve"> </w:t>
      </w:r>
      <w:r w:rsidR="00BC0117" w:rsidRPr="002D468A">
        <w:rPr>
          <w:color w:val="000000" w:themeColor="text1"/>
          <w:lang w:val="ro-MD"/>
        </w:rPr>
        <w:t xml:space="preserve">după </w:t>
      </w:r>
      <w:r w:rsidRPr="002D468A">
        <w:rPr>
          <w:color w:val="000000" w:themeColor="text1"/>
          <w:lang w:val="ro-MD"/>
        </w:rPr>
        <w:t>cuvântul „protecției</w:t>
      </w:r>
      <w:r w:rsidR="006952B7" w:rsidRPr="002D468A">
        <w:rPr>
          <w:color w:val="000000" w:themeColor="text1"/>
          <w:lang w:val="ro-RO"/>
        </w:rPr>
        <w:t>”</w:t>
      </w:r>
      <w:r w:rsidRPr="002D468A">
        <w:rPr>
          <w:color w:val="000000" w:themeColor="text1"/>
          <w:lang w:val="ro-MD"/>
        </w:rPr>
        <w:t xml:space="preserve"> se completează cu cuvântul „creditului”;</w:t>
      </w:r>
    </w:p>
    <w:p w14:paraId="45DC18F9" w14:textId="3DC782A4" w:rsidR="009168DD" w:rsidRPr="002D468A" w:rsidRDefault="009168DD" w:rsidP="005F73A6">
      <w:pPr>
        <w:pStyle w:val="ListParagraph"/>
        <w:numPr>
          <w:ilvl w:val="2"/>
          <w:numId w:val="27"/>
        </w:numPr>
        <w:tabs>
          <w:tab w:val="left" w:pos="567"/>
        </w:tabs>
        <w:spacing w:before="80"/>
        <w:ind w:left="0" w:firstLine="567"/>
        <w:contextualSpacing w:val="0"/>
        <w:jc w:val="both"/>
        <w:rPr>
          <w:color w:val="000000" w:themeColor="text1"/>
          <w:lang w:val="ro-MD"/>
        </w:rPr>
      </w:pPr>
      <w:r w:rsidRPr="002D468A">
        <w:rPr>
          <w:color w:val="000000" w:themeColor="text1"/>
          <w:lang w:val="ro-MD"/>
        </w:rPr>
        <w:t>litera c)</w:t>
      </w:r>
      <w:r w:rsidR="006952B7" w:rsidRPr="002D468A">
        <w:rPr>
          <w:color w:val="000000" w:themeColor="text1"/>
          <w:lang w:val="ro-MD"/>
        </w:rPr>
        <w:t>,</w:t>
      </w:r>
      <w:r w:rsidRPr="002D468A">
        <w:rPr>
          <w:color w:val="000000" w:themeColor="text1"/>
          <w:lang w:val="ro-MD"/>
        </w:rPr>
        <w:t xml:space="preserve"> după textul „</w:t>
      </w:r>
      <w:r w:rsidRPr="002D468A">
        <w:rPr>
          <w:color w:val="000000" w:themeColor="text1"/>
          <w:lang w:val="ro-RO" w:eastAsia="ro-MD"/>
        </w:rPr>
        <w:t>Regulamentului nr.111/2018” se completează cu cuvintele „și actului normativ al Băncii Naționale a Moldovei aferent tratamentului riscului de credit potrivit abordării bazate pe modele interne de rating”.</w:t>
      </w:r>
    </w:p>
    <w:p w14:paraId="34DF0386" w14:textId="03FA6AAF" w:rsidR="00912F3F" w:rsidRPr="002D468A" w:rsidRDefault="00912F3F" w:rsidP="005C236D">
      <w:pPr>
        <w:pStyle w:val="ListParagraph"/>
        <w:numPr>
          <w:ilvl w:val="1"/>
          <w:numId w:val="27"/>
        </w:numPr>
        <w:tabs>
          <w:tab w:val="left" w:pos="567"/>
        </w:tabs>
        <w:spacing w:before="80"/>
        <w:ind w:left="0" w:firstLine="567"/>
        <w:contextualSpacing w:val="0"/>
        <w:jc w:val="both"/>
        <w:rPr>
          <w:color w:val="000000" w:themeColor="text1"/>
          <w:lang w:val="ro-MD"/>
        </w:rPr>
      </w:pPr>
      <w:r w:rsidRPr="002D468A">
        <w:rPr>
          <w:color w:val="000000" w:themeColor="text1"/>
          <w:lang w:val="ro-MD"/>
        </w:rPr>
        <w:t xml:space="preserve">La punctul </w:t>
      </w:r>
      <w:r w:rsidR="00124F8F" w:rsidRPr="002D468A">
        <w:rPr>
          <w:color w:val="000000" w:themeColor="text1"/>
          <w:lang w:val="ro-MD"/>
        </w:rPr>
        <w:t>6</w:t>
      </w:r>
      <w:r w:rsidRPr="002D468A">
        <w:rPr>
          <w:color w:val="000000" w:themeColor="text1"/>
          <w:lang w:val="ro-MD"/>
        </w:rPr>
        <w:t>0</w:t>
      </w:r>
      <w:r w:rsidR="00124F8F" w:rsidRPr="002D468A">
        <w:rPr>
          <w:color w:val="000000" w:themeColor="text1"/>
          <w:lang w:val="ro-MD"/>
        </w:rPr>
        <w:t xml:space="preserve"> subpunctul 1)</w:t>
      </w:r>
      <w:r w:rsidR="00B257E4" w:rsidRPr="002D468A">
        <w:rPr>
          <w:color w:val="000000" w:themeColor="text1"/>
          <w:lang w:val="ro-MD"/>
        </w:rPr>
        <w:t>,</w:t>
      </w:r>
      <w:r w:rsidRPr="002D468A">
        <w:rPr>
          <w:color w:val="000000" w:themeColor="text1"/>
          <w:lang w:val="ro-MD"/>
        </w:rPr>
        <w:t xml:space="preserve"> </w:t>
      </w:r>
      <w:r w:rsidR="00124F8F" w:rsidRPr="002D468A">
        <w:rPr>
          <w:color w:val="000000" w:themeColor="text1"/>
          <w:lang w:val="ro-MD"/>
        </w:rPr>
        <w:t xml:space="preserve">cuvântul </w:t>
      </w:r>
      <w:r w:rsidRPr="002D468A">
        <w:rPr>
          <w:color w:val="000000" w:themeColor="text1"/>
          <w:lang w:val="ro-MD"/>
        </w:rPr>
        <w:t>„</w:t>
      </w:r>
      <w:proofErr w:type="spellStart"/>
      <w:r w:rsidR="00124F8F" w:rsidRPr="002D468A">
        <w:rPr>
          <w:color w:val="000000" w:themeColor="text1"/>
          <w:lang w:val="ro-MD"/>
        </w:rPr>
        <w:t>contraparte</w:t>
      </w:r>
      <w:proofErr w:type="spellEnd"/>
      <w:r w:rsidRPr="002D468A">
        <w:rPr>
          <w:color w:val="000000" w:themeColor="text1"/>
          <w:lang w:val="ro-MD"/>
        </w:rPr>
        <w:t xml:space="preserve">” se substituie cu </w:t>
      </w:r>
      <w:r w:rsidR="00124F8F" w:rsidRPr="002D468A">
        <w:rPr>
          <w:color w:val="000000" w:themeColor="text1"/>
          <w:lang w:val="ro-MD"/>
        </w:rPr>
        <w:t>cuvântul</w:t>
      </w:r>
      <w:r w:rsidRPr="002D468A">
        <w:rPr>
          <w:color w:val="000000" w:themeColor="text1"/>
          <w:lang w:val="ro-MD"/>
        </w:rPr>
        <w:t xml:space="preserve"> „</w:t>
      </w:r>
      <w:r w:rsidR="00124F8F" w:rsidRPr="002D468A">
        <w:rPr>
          <w:color w:val="000000" w:themeColor="text1"/>
          <w:lang w:val="ro-MD"/>
        </w:rPr>
        <w:t>debitor</w:t>
      </w:r>
      <w:r w:rsidRPr="002D468A">
        <w:rPr>
          <w:color w:val="000000" w:themeColor="text1"/>
          <w:lang w:val="ro-MD"/>
        </w:rPr>
        <w:t>”.</w:t>
      </w:r>
    </w:p>
    <w:p w14:paraId="68E08BA8" w14:textId="77777777" w:rsidR="00124F8F" w:rsidRPr="002D468A" w:rsidRDefault="00124F8F" w:rsidP="00D92B2C">
      <w:pPr>
        <w:pStyle w:val="ListParagraph"/>
        <w:numPr>
          <w:ilvl w:val="1"/>
          <w:numId w:val="27"/>
        </w:numPr>
        <w:tabs>
          <w:tab w:val="left" w:pos="567"/>
        </w:tabs>
        <w:spacing w:before="80"/>
        <w:ind w:left="0" w:firstLine="567"/>
        <w:contextualSpacing w:val="0"/>
        <w:jc w:val="both"/>
        <w:rPr>
          <w:color w:val="000000" w:themeColor="text1"/>
          <w:lang w:val="ro-MD"/>
        </w:rPr>
      </w:pPr>
      <w:r w:rsidRPr="002D468A">
        <w:rPr>
          <w:color w:val="000000" w:themeColor="text1"/>
          <w:lang w:val="ro-MD"/>
        </w:rPr>
        <w:t>La punctul 61:</w:t>
      </w:r>
    </w:p>
    <w:p w14:paraId="34EE6006" w14:textId="144AF6CB" w:rsidR="00CA6306" w:rsidRPr="002D468A" w:rsidRDefault="00100621" w:rsidP="00EE3412">
      <w:pPr>
        <w:pStyle w:val="ListParagraph"/>
        <w:numPr>
          <w:ilvl w:val="2"/>
          <w:numId w:val="27"/>
        </w:numPr>
        <w:tabs>
          <w:tab w:val="left" w:pos="0"/>
        </w:tabs>
        <w:spacing w:before="80"/>
        <w:ind w:left="0" w:firstLine="567"/>
        <w:contextualSpacing w:val="0"/>
        <w:jc w:val="both"/>
        <w:rPr>
          <w:color w:val="000000" w:themeColor="text1"/>
          <w:lang w:val="ro-MD"/>
        </w:rPr>
      </w:pPr>
      <w:r w:rsidRPr="002D468A">
        <w:rPr>
          <w:color w:val="000000" w:themeColor="text1"/>
          <w:lang w:val="ro-MD"/>
        </w:rPr>
        <w:t>î</w:t>
      </w:r>
      <w:r w:rsidR="00124F8F" w:rsidRPr="002D468A">
        <w:rPr>
          <w:color w:val="000000" w:themeColor="text1"/>
          <w:lang w:val="ro-MD"/>
        </w:rPr>
        <w:t xml:space="preserve">n </w:t>
      </w:r>
      <w:r w:rsidR="00BC0117" w:rsidRPr="002D468A">
        <w:rPr>
          <w:color w:val="000000" w:themeColor="text1"/>
          <w:lang w:val="ro-MD"/>
        </w:rPr>
        <w:t>partea introductivă</w:t>
      </w:r>
      <w:r w:rsidR="006952B7" w:rsidRPr="002D468A">
        <w:rPr>
          <w:color w:val="000000" w:themeColor="text1"/>
          <w:lang w:val="ro-MD"/>
        </w:rPr>
        <w:t>,</w:t>
      </w:r>
      <w:r w:rsidR="00BC0117" w:rsidRPr="002D468A">
        <w:rPr>
          <w:color w:val="000000" w:themeColor="text1"/>
          <w:lang w:val="ro-MD"/>
        </w:rPr>
        <w:t xml:space="preserve"> </w:t>
      </w:r>
      <w:r w:rsidR="00A765C6" w:rsidRPr="002D468A">
        <w:rPr>
          <w:color w:val="000000" w:themeColor="text1"/>
          <w:lang w:val="ro-MD"/>
        </w:rPr>
        <w:t xml:space="preserve">cuvintele </w:t>
      </w:r>
      <w:r w:rsidR="00124F8F" w:rsidRPr="002D468A">
        <w:rPr>
          <w:color w:val="000000" w:themeColor="text1"/>
          <w:lang w:val="ro-MD"/>
        </w:rPr>
        <w:t>„</w:t>
      </w:r>
      <w:r w:rsidR="00A765C6" w:rsidRPr="002D468A">
        <w:rPr>
          <w:color w:val="000000" w:themeColor="text1"/>
          <w:lang w:val="ro-RO" w:eastAsia="ro-MD"/>
        </w:rPr>
        <w:t>cerințele prevăzute</w:t>
      </w:r>
      <w:r w:rsidR="00124F8F" w:rsidRPr="002D468A">
        <w:rPr>
          <w:color w:val="000000" w:themeColor="text1"/>
          <w:lang w:val="ro-RO" w:eastAsia="ro-MD"/>
        </w:rPr>
        <w:t xml:space="preserve">” se completează cu textul „la punctul 53 subpunctul 3) </w:t>
      </w:r>
      <w:proofErr w:type="spellStart"/>
      <w:r w:rsidR="00124F8F" w:rsidRPr="002D468A">
        <w:rPr>
          <w:color w:val="000000" w:themeColor="text1"/>
          <w:lang w:val="ro-RO" w:eastAsia="ro-MD"/>
        </w:rPr>
        <w:t>lit.c</w:t>
      </w:r>
      <w:proofErr w:type="spellEnd"/>
      <w:r w:rsidR="00124F8F" w:rsidRPr="002D468A">
        <w:rPr>
          <w:color w:val="000000" w:themeColor="text1"/>
          <w:lang w:val="ro-RO" w:eastAsia="ro-MD"/>
        </w:rPr>
        <w:t>)</w:t>
      </w:r>
      <w:r w:rsidR="00A765C6" w:rsidRPr="002D468A">
        <w:rPr>
          <w:color w:val="000000" w:themeColor="text1"/>
          <w:lang w:val="ro-RO" w:eastAsia="ro-MD"/>
        </w:rPr>
        <w:t xml:space="preserve"> și</w:t>
      </w:r>
      <w:r w:rsidR="00124F8F" w:rsidRPr="002D468A">
        <w:rPr>
          <w:color w:val="000000" w:themeColor="text1"/>
          <w:lang w:val="ro-RO" w:eastAsia="ro-MD"/>
        </w:rPr>
        <w:t>”;</w:t>
      </w:r>
    </w:p>
    <w:p w14:paraId="6DCE0E6D" w14:textId="0F7EE0A2" w:rsidR="00124F8F" w:rsidRPr="002D468A" w:rsidRDefault="00100621" w:rsidP="00EE3412">
      <w:pPr>
        <w:pStyle w:val="ListParagraph"/>
        <w:numPr>
          <w:ilvl w:val="2"/>
          <w:numId w:val="27"/>
        </w:numPr>
        <w:tabs>
          <w:tab w:val="left" w:pos="0"/>
        </w:tabs>
        <w:spacing w:before="80"/>
        <w:ind w:left="0" w:firstLine="567"/>
        <w:contextualSpacing w:val="0"/>
        <w:jc w:val="both"/>
        <w:rPr>
          <w:color w:val="000000" w:themeColor="text1"/>
          <w:lang w:val="ro-MD"/>
        </w:rPr>
      </w:pPr>
      <w:r w:rsidRPr="002D468A">
        <w:rPr>
          <w:color w:val="000000" w:themeColor="text1"/>
          <w:lang w:val="ro-MD"/>
        </w:rPr>
        <w:t>subpunctul 1) se completează</w:t>
      </w:r>
      <w:r w:rsidR="006952B7" w:rsidRPr="002D468A">
        <w:rPr>
          <w:color w:val="000000" w:themeColor="text1"/>
          <w:lang w:val="ro-MD"/>
        </w:rPr>
        <w:t>,</w:t>
      </w:r>
      <w:r w:rsidRPr="002D468A">
        <w:rPr>
          <w:color w:val="000000" w:themeColor="text1"/>
          <w:lang w:val="ro-MD"/>
        </w:rPr>
        <w:t xml:space="preserve"> la început</w:t>
      </w:r>
      <w:r w:rsidR="006952B7" w:rsidRPr="002D468A">
        <w:rPr>
          <w:color w:val="000000" w:themeColor="text1"/>
          <w:lang w:val="ro-MD"/>
        </w:rPr>
        <w:t>,</w:t>
      </w:r>
      <w:r w:rsidRPr="002D468A">
        <w:rPr>
          <w:color w:val="000000" w:themeColor="text1"/>
          <w:lang w:val="ro-MD"/>
        </w:rPr>
        <w:t xml:space="preserve"> cu textul „</w:t>
      </w:r>
      <w:r w:rsidRPr="002D468A">
        <w:rPr>
          <w:color w:val="000000" w:themeColor="text1"/>
          <w:lang w:val="ro-RO" w:eastAsia="ro-MD"/>
        </w:rPr>
        <w:t>în caz de intrare în stare de nerambursare sau în caz de neplată de către debitorul inițial, ”;</w:t>
      </w:r>
    </w:p>
    <w:p w14:paraId="15763AE9" w14:textId="3BC2230C" w:rsidR="00100621" w:rsidRPr="002D468A" w:rsidRDefault="00100621" w:rsidP="00EE3412">
      <w:pPr>
        <w:pStyle w:val="ListParagraph"/>
        <w:numPr>
          <w:ilvl w:val="2"/>
          <w:numId w:val="27"/>
        </w:numPr>
        <w:tabs>
          <w:tab w:val="left" w:pos="0"/>
        </w:tabs>
        <w:spacing w:before="80"/>
        <w:ind w:left="0" w:firstLine="567"/>
        <w:contextualSpacing w:val="0"/>
        <w:jc w:val="both"/>
        <w:rPr>
          <w:color w:val="000000" w:themeColor="text1"/>
          <w:lang w:val="ro-MD"/>
        </w:rPr>
      </w:pPr>
      <w:r w:rsidRPr="002D468A">
        <w:rPr>
          <w:color w:val="000000" w:themeColor="text1"/>
          <w:lang w:val="ro-RO" w:eastAsia="ro-MD"/>
        </w:rPr>
        <w:t>subpunctul 2) se completează cu textul „;</w:t>
      </w:r>
      <w:r w:rsidRPr="002D468A">
        <w:rPr>
          <w:color w:val="000000" w:themeColor="text1"/>
          <w:lang w:val="ro-MD"/>
        </w:rPr>
        <w:t xml:space="preserve"> </w:t>
      </w:r>
      <w:r w:rsidRPr="002D468A">
        <w:rPr>
          <w:color w:val="000000" w:themeColor="text1"/>
          <w:lang w:val="ro-RO" w:eastAsia="ro-MD"/>
        </w:rPr>
        <w:t>această justificare este documentată în mod corespunzător și face obiectul unor proceduri interne specifice de aprobare și audit.”.</w:t>
      </w:r>
    </w:p>
    <w:p w14:paraId="75F18D96" w14:textId="5A5338A8" w:rsidR="00881A1C" w:rsidRPr="002D468A" w:rsidRDefault="00100621" w:rsidP="00881A1C">
      <w:pPr>
        <w:pStyle w:val="ListParagraph"/>
        <w:numPr>
          <w:ilvl w:val="1"/>
          <w:numId w:val="27"/>
        </w:numPr>
        <w:tabs>
          <w:tab w:val="left" w:pos="567"/>
        </w:tabs>
        <w:spacing w:before="80"/>
        <w:ind w:left="0" w:firstLine="567"/>
        <w:contextualSpacing w:val="0"/>
        <w:jc w:val="both"/>
        <w:rPr>
          <w:color w:val="000000" w:themeColor="text1"/>
          <w:lang w:val="ro-MD"/>
        </w:rPr>
      </w:pPr>
      <w:r w:rsidRPr="002D468A">
        <w:rPr>
          <w:color w:val="000000" w:themeColor="text1"/>
          <w:lang w:val="ro-MD"/>
        </w:rPr>
        <w:t>Se completează cu p</w:t>
      </w:r>
      <w:r w:rsidR="00881A1C" w:rsidRPr="002D468A">
        <w:rPr>
          <w:color w:val="000000" w:themeColor="text1"/>
          <w:lang w:val="ro-MD"/>
        </w:rPr>
        <w:t xml:space="preserve">unctul </w:t>
      </w:r>
      <w:r w:rsidRPr="002D468A">
        <w:rPr>
          <w:color w:val="000000" w:themeColor="text1"/>
          <w:lang w:val="ro-MD"/>
        </w:rPr>
        <w:t>64</w:t>
      </w:r>
      <w:r w:rsidRPr="002D468A">
        <w:rPr>
          <w:color w:val="000000" w:themeColor="text1"/>
          <w:vertAlign w:val="superscript"/>
          <w:lang w:val="ro-MD"/>
        </w:rPr>
        <w:t>1</w:t>
      </w:r>
      <w:r w:rsidRPr="002D468A">
        <w:rPr>
          <w:color w:val="000000" w:themeColor="text1"/>
          <w:lang w:val="ro-MD"/>
        </w:rPr>
        <w:t xml:space="preserve"> cu</w:t>
      </w:r>
      <w:r w:rsidR="00881A1C" w:rsidRPr="002D468A">
        <w:rPr>
          <w:color w:val="000000" w:themeColor="text1"/>
          <w:lang w:val="ro-MD"/>
        </w:rPr>
        <w:t xml:space="preserve"> următorul cuprins: </w:t>
      </w:r>
    </w:p>
    <w:p w14:paraId="372AE5A5" w14:textId="77777777" w:rsidR="00EC0A5E" w:rsidRPr="002D468A" w:rsidRDefault="00881A1C" w:rsidP="00EC0A5E">
      <w:pPr>
        <w:jc w:val="both"/>
        <w:rPr>
          <w:color w:val="000000" w:themeColor="text1"/>
          <w:lang w:val="ro-RO" w:eastAsia="ro-MD"/>
        </w:rPr>
      </w:pPr>
      <w:r w:rsidRPr="002D468A">
        <w:rPr>
          <w:color w:val="000000" w:themeColor="text1"/>
          <w:lang w:val="ro-MD"/>
        </w:rPr>
        <w:t>„</w:t>
      </w:r>
      <w:r w:rsidR="00EC0A5E" w:rsidRPr="002D468A">
        <w:rPr>
          <w:b/>
          <w:bCs/>
          <w:color w:val="000000" w:themeColor="text1"/>
          <w:lang w:val="ro-RO" w:eastAsia="ro-MD"/>
        </w:rPr>
        <w:t>64</w:t>
      </w:r>
      <w:r w:rsidR="00EC0A5E" w:rsidRPr="002D468A">
        <w:rPr>
          <w:b/>
          <w:bCs/>
          <w:color w:val="000000" w:themeColor="text1"/>
          <w:vertAlign w:val="superscript"/>
          <w:lang w:val="ro-RO" w:eastAsia="ro-MD"/>
        </w:rPr>
        <w:t>1</w:t>
      </w:r>
      <w:r w:rsidR="00EC0A5E" w:rsidRPr="002D468A">
        <w:rPr>
          <w:b/>
          <w:bCs/>
          <w:color w:val="000000" w:themeColor="text1"/>
          <w:lang w:val="ro-RO" w:eastAsia="ro-MD"/>
        </w:rPr>
        <w:t>.</w:t>
      </w:r>
      <w:r w:rsidR="00EC0A5E" w:rsidRPr="002D468A">
        <w:rPr>
          <w:color w:val="000000" w:themeColor="text1"/>
          <w:lang w:val="ro-RO" w:eastAsia="ro-MD"/>
        </w:rPr>
        <w:t xml:space="preserve"> Prin derogare de la punctul 62, pentru o expunere față de societăți garantată cu un instrument financiar derivat de credit, nu este obligatoriu ca evenimentul de credit menționat la punctul 62 subpunctul 1) litera c) să fie specificat în contractul derivat dacă sunt îndeplinite cumulativ următoarele condiții:</w:t>
      </w:r>
    </w:p>
    <w:p w14:paraId="03B8AEAE" w14:textId="1AEA74E8" w:rsidR="00EC0A5E" w:rsidRPr="002D468A" w:rsidRDefault="00EC0A5E" w:rsidP="00EC0A5E">
      <w:pPr>
        <w:ind w:firstLine="567"/>
        <w:jc w:val="both"/>
        <w:rPr>
          <w:color w:val="000000" w:themeColor="text1"/>
          <w:lang w:val="ro-RO" w:eastAsia="ro-MD"/>
        </w:rPr>
      </w:pPr>
      <w:r w:rsidRPr="002D468A">
        <w:rPr>
          <w:color w:val="000000" w:themeColor="text1"/>
          <w:lang w:val="ro-RO" w:eastAsia="ro-MD"/>
        </w:rPr>
        <w:t>1) este necesar un vot de 100% pentru a modifica scadența, principalul, cuponul, moneda sau rangul expunerii-suport față de societăți;</w:t>
      </w:r>
    </w:p>
    <w:p w14:paraId="5F12047A" w14:textId="506309C3" w:rsidR="00EC0A5E" w:rsidRPr="002D468A" w:rsidRDefault="00EC0A5E" w:rsidP="00EC0A5E">
      <w:pPr>
        <w:ind w:firstLine="567"/>
        <w:jc w:val="both"/>
        <w:rPr>
          <w:color w:val="000000" w:themeColor="text1"/>
          <w:lang w:val="ro-RO" w:eastAsia="ro-MD"/>
        </w:rPr>
      </w:pPr>
      <w:r w:rsidRPr="002D468A">
        <w:rPr>
          <w:color w:val="000000" w:themeColor="text1"/>
          <w:lang w:val="ro-RO" w:eastAsia="ro-MD"/>
        </w:rPr>
        <w:t xml:space="preserve">2) </w:t>
      </w:r>
      <w:r w:rsidR="00EA469E" w:rsidRPr="002D468A">
        <w:rPr>
          <w:color w:val="000000" w:themeColor="text1"/>
          <w:lang w:val="ro-RO" w:eastAsia="ro-MD"/>
        </w:rPr>
        <w:t>jurisdicția</w:t>
      </w:r>
      <w:r w:rsidRPr="002D468A">
        <w:rPr>
          <w:color w:val="000000" w:themeColor="text1"/>
          <w:lang w:val="ro-RO" w:eastAsia="ro-MD"/>
        </w:rPr>
        <w:t xml:space="preserve"> unde este reglementată expunerea față de societăți </w:t>
      </w:r>
      <w:r w:rsidR="00C0708C" w:rsidRPr="002D468A">
        <w:rPr>
          <w:color w:val="000000" w:themeColor="text1"/>
          <w:lang w:val="ro-RO" w:eastAsia="ro-MD"/>
        </w:rPr>
        <w:t>dispune de un cadru legal</w:t>
      </w:r>
      <w:r w:rsidRPr="002D468A">
        <w:rPr>
          <w:color w:val="000000" w:themeColor="text1"/>
          <w:lang w:val="ro-RO" w:eastAsia="ro-MD"/>
        </w:rPr>
        <w:t xml:space="preserve"> bine stabilit privind falimentul, care permite unei societăți să se reorganizeze și să se restructureze și prevede decontarea ordonată a creanțelor creditorilor.</w:t>
      </w:r>
    </w:p>
    <w:p w14:paraId="30B15309" w14:textId="5142B029" w:rsidR="00551A0E" w:rsidRPr="002D468A" w:rsidRDefault="00EC0A5E" w:rsidP="00EC0A5E">
      <w:pPr>
        <w:tabs>
          <w:tab w:val="left" w:pos="567"/>
        </w:tabs>
        <w:spacing w:before="80"/>
        <w:jc w:val="both"/>
        <w:rPr>
          <w:color w:val="000000" w:themeColor="text1"/>
          <w:lang w:val="ro-MD"/>
        </w:rPr>
      </w:pPr>
      <w:r w:rsidRPr="002D468A">
        <w:rPr>
          <w:color w:val="000000" w:themeColor="text1"/>
          <w:lang w:val="ro-RO" w:eastAsia="ro-MD"/>
        </w:rPr>
        <w:t>În cazul în care condițiile prevăzute la subpunctele 1) și 2) nu sunt îndeplinite, protecția creditului poate fi totuși eligibilă, sub rezerva unei reduceri a valorii, astfel cum se specifică la punctul 111.</w:t>
      </w:r>
      <w:r w:rsidR="00881A1C" w:rsidRPr="002D468A">
        <w:rPr>
          <w:color w:val="000000" w:themeColor="text1"/>
          <w:lang w:val="ro-RO" w:eastAsia="ro-MD"/>
        </w:rPr>
        <w:t>”</w:t>
      </w:r>
      <w:r w:rsidR="00C94E5E" w:rsidRPr="002D468A">
        <w:rPr>
          <w:color w:val="000000" w:themeColor="text1"/>
          <w:lang w:val="ro-MD"/>
        </w:rPr>
        <w:t>.</w:t>
      </w:r>
    </w:p>
    <w:p w14:paraId="60545C23" w14:textId="631E8B9C" w:rsidR="00D416E6" w:rsidRPr="002D468A" w:rsidRDefault="001567B9" w:rsidP="001567B9">
      <w:pPr>
        <w:pStyle w:val="ListParagraph"/>
        <w:numPr>
          <w:ilvl w:val="1"/>
          <w:numId w:val="27"/>
        </w:numPr>
        <w:tabs>
          <w:tab w:val="left" w:pos="567"/>
        </w:tabs>
        <w:spacing w:before="80"/>
        <w:ind w:left="0" w:firstLine="567"/>
        <w:contextualSpacing w:val="0"/>
        <w:jc w:val="both"/>
        <w:rPr>
          <w:color w:val="000000" w:themeColor="text1"/>
          <w:lang w:val="ro-MD"/>
        </w:rPr>
      </w:pPr>
      <w:r w:rsidRPr="002D468A">
        <w:rPr>
          <w:color w:val="000000" w:themeColor="text1"/>
          <w:lang w:val="ro-MD"/>
        </w:rPr>
        <w:t>La p</w:t>
      </w:r>
      <w:r w:rsidR="00077C4D" w:rsidRPr="002D468A">
        <w:rPr>
          <w:color w:val="000000" w:themeColor="text1"/>
          <w:lang w:val="ro-MD"/>
        </w:rPr>
        <w:t xml:space="preserve">unctul </w:t>
      </w:r>
      <w:r w:rsidRPr="002D468A">
        <w:rPr>
          <w:color w:val="000000" w:themeColor="text1"/>
          <w:lang w:val="ro-MD"/>
        </w:rPr>
        <w:t>65</w:t>
      </w:r>
      <w:r w:rsidR="006952B7" w:rsidRPr="002D468A">
        <w:rPr>
          <w:color w:val="000000" w:themeColor="text1"/>
          <w:lang w:val="ro-MD"/>
        </w:rPr>
        <w:t>,</w:t>
      </w:r>
      <w:r w:rsidRPr="002D468A">
        <w:rPr>
          <w:color w:val="000000" w:themeColor="text1"/>
          <w:lang w:val="ro-MD"/>
        </w:rPr>
        <w:t xml:space="preserve"> cuvintele „</w:t>
      </w:r>
      <w:r w:rsidRPr="002D468A">
        <w:rPr>
          <w:color w:val="000000" w:themeColor="text1"/>
          <w:lang w:val="ro-RO" w:eastAsia="ro-MD"/>
        </w:rPr>
        <w:t>care sunt exprimate în aceeași monedă”</w:t>
      </w:r>
      <w:r w:rsidR="00D416E6" w:rsidRPr="002D468A">
        <w:rPr>
          <w:color w:val="000000" w:themeColor="text1"/>
          <w:lang w:val="ro-MD"/>
        </w:rPr>
        <w:t xml:space="preserve"> se </w:t>
      </w:r>
      <w:r w:rsidRPr="002D468A">
        <w:rPr>
          <w:color w:val="000000" w:themeColor="text1"/>
          <w:lang w:val="ro-MD"/>
        </w:rPr>
        <w:t>exclud.</w:t>
      </w:r>
    </w:p>
    <w:p w14:paraId="07E1A8AC" w14:textId="332BDD4D" w:rsidR="00242BCF" w:rsidRPr="002D468A" w:rsidRDefault="00010541" w:rsidP="001F56A6">
      <w:pPr>
        <w:pStyle w:val="ListParagraph"/>
        <w:numPr>
          <w:ilvl w:val="1"/>
          <w:numId w:val="27"/>
        </w:numPr>
        <w:tabs>
          <w:tab w:val="left" w:pos="567"/>
        </w:tabs>
        <w:spacing w:before="80"/>
        <w:ind w:left="0" w:firstLine="567"/>
        <w:contextualSpacing w:val="0"/>
        <w:jc w:val="both"/>
        <w:rPr>
          <w:color w:val="000000" w:themeColor="text1"/>
          <w:lang w:val="ro-MD"/>
        </w:rPr>
      </w:pPr>
      <w:r w:rsidRPr="002D468A">
        <w:rPr>
          <w:color w:val="000000" w:themeColor="text1"/>
          <w:lang w:val="ro-MD"/>
        </w:rPr>
        <w:lastRenderedPageBreak/>
        <w:t xml:space="preserve">La </w:t>
      </w:r>
      <w:r w:rsidR="00D416E6" w:rsidRPr="002D468A">
        <w:rPr>
          <w:color w:val="000000" w:themeColor="text1"/>
          <w:lang w:val="ro-MD"/>
        </w:rPr>
        <w:t xml:space="preserve">punctul </w:t>
      </w:r>
      <w:r w:rsidRPr="002D468A">
        <w:rPr>
          <w:color w:val="000000" w:themeColor="text1"/>
          <w:lang w:val="ro-MD"/>
        </w:rPr>
        <w:t>68</w:t>
      </w:r>
      <w:r w:rsidR="006952B7" w:rsidRPr="002D468A">
        <w:rPr>
          <w:color w:val="000000" w:themeColor="text1"/>
          <w:lang w:val="ro-MD"/>
        </w:rPr>
        <w:t>,</w:t>
      </w:r>
      <w:r w:rsidRPr="002D468A">
        <w:rPr>
          <w:color w:val="000000" w:themeColor="text1"/>
          <w:lang w:val="ro-MD"/>
        </w:rPr>
        <w:t xml:space="preserve"> textul „</w:t>
      </w:r>
      <w:r w:rsidRPr="002D468A">
        <w:rPr>
          <w:color w:val="000000" w:themeColor="text1"/>
          <w:lang w:val="ro-RO" w:eastAsia="ro-MD"/>
        </w:rPr>
        <w:t>tranzacțiile de răscumpărare sau operațiunile de dare sau luare de valori mobiliare sau mărfuri cu împrumut”</w:t>
      </w:r>
      <w:r w:rsidR="00F36DB2" w:rsidRPr="002D468A">
        <w:rPr>
          <w:color w:val="000000" w:themeColor="text1"/>
          <w:lang w:val="ro-MD"/>
        </w:rPr>
        <w:t xml:space="preserve"> </w:t>
      </w:r>
      <w:r w:rsidRPr="002D468A">
        <w:rPr>
          <w:color w:val="000000" w:themeColor="text1"/>
          <w:lang w:val="ro-MD"/>
        </w:rPr>
        <w:t>se substituie cu textul „</w:t>
      </w:r>
      <w:r w:rsidRPr="002D468A">
        <w:rPr>
          <w:color w:val="000000" w:themeColor="text1"/>
          <w:lang w:val="ro-RO" w:eastAsia="ro-MD"/>
        </w:rPr>
        <w:t>operațiunile de finanțare prin instrumente financiare</w:t>
      </w:r>
      <w:r w:rsidR="00F36DB2" w:rsidRPr="002D468A">
        <w:rPr>
          <w:color w:val="000000" w:themeColor="text1"/>
          <w:lang w:val="ro-RO" w:eastAsia="ro-MD"/>
        </w:rPr>
        <w:t>”.</w:t>
      </w:r>
    </w:p>
    <w:p w14:paraId="07D7597D" w14:textId="2C781B58" w:rsidR="00D416E6" w:rsidRPr="002D468A" w:rsidRDefault="00010541" w:rsidP="00D92B2C">
      <w:pPr>
        <w:pStyle w:val="ListParagraph"/>
        <w:numPr>
          <w:ilvl w:val="1"/>
          <w:numId w:val="27"/>
        </w:numPr>
        <w:tabs>
          <w:tab w:val="left" w:pos="567"/>
        </w:tabs>
        <w:spacing w:before="80"/>
        <w:ind w:left="0" w:firstLine="567"/>
        <w:contextualSpacing w:val="0"/>
        <w:jc w:val="both"/>
        <w:rPr>
          <w:color w:val="000000" w:themeColor="text1"/>
          <w:lang w:val="ro-MD"/>
        </w:rPr>
      </w:pPr>
      <w:r w:rsidRPr="002D468A">
        <w:rPr>
          <w:color w:val="000000" w:themeColor="text1"/>
          <w:lang w:val="ro-MD"/>
        </w:rPr>
        <w:t>La p</w:t>
      </w:r>
      <w:r w:rsidR="00D416E6" w:rsidRPr="002D468A">
        <w:rPr>
          <w:color w:val="000000" w:themeColor="text1"/>
          <w:lang w:val="ro-MD"/>
        </w:rPr>
        <w:t xml:space="preserve">unctul </w:t>
      </w:r>
      <w:r w:rsidRPr="002D468A">
        <w:rPr>
          <w:color w:val="000000" w:themeColor="text1"/>
          <w:lang w:val="ro-MD"/>
        </w:rPr>
        <w:t>69</w:t>
      </w:r>
      <w:r w:rsidR="006952B7" w:rsidRPr="002D468A">
        <w:rPr>
          <w:color w:val="000000" w:themeColor="text1"/>
          <w:lang w:val="ro-MD"/>
        </w:rPr>
        <w:t>,</w:t>
      </w:r>
      <w:r w:rsidRPr="002D468A">
        <w:rPr>
          <w:color w:val="000000" w:themeColor="text1"/>
          <w:lang w:val="ro-MD"/>
        </w:rPr>
        <w:t xml:space="preserve"> subpunctul 3)</w:t>
      </w:r>
      <w:r w:rsidR="0008627B" w:rsidRPr="002D468A">
        <w:rPr>
          <w:color w:val="000000" w:themeColor="text1"/>
          <w:lang w:val="ro-MD"/>
        </w:rPr>
        <w:t xml:space="preserve"> </w:t>
      </w:r>
      <w:r w:rsidR="00A42B1F" w:rsidRPr="002D468A">
        <w:rPr>
          <w:color w:val="000000" w:themeColor="text1"/>
          <w:lang w:val="ro-MD"/>
        </w:rPr>
        <w:t>va avea următorul cuprins:</w:t>
      </w:r>
    </w:p>
    <w:p w14:paraId="66E51FF3" w14:textId="7CC10E19" w:rsidR="00A42B1F" w:rsidRPr="002D468A" w:rsidRDefault="00A42B1F" w:rsidP="00A42B1F">
      <w:pPr>
        <w:tabs>
          <w:tab w:val="left" w:pos="567"/>
        </w:tabs>
        <w:spacing w:before="80"/>
        <w:jc w:val="both"/>
        <w:rPr>
          <w:color w:val="000000" w:themeColor="text1"/>
          <w:lang w:val="ro-MD"/>
        </w:rPr>
      </w:pPr>
      <w:r w:rsidRPr="002D468A">
        <w:rPr>
          <w:color w:val="000000" w:themeColor="text1"/>
          <w:lang w:val="ro-MD"/>
        </w:rPr>
        <w:t>„</w:t>
      </w:r>
      <w:r w:rsidR="00010541" w:rsidRPr="002D468A">
        <w:rPr>
          <w:color w:val="000000" w:themeColor="text1"/>
          <w:lang w:val="ro-RO" w:eastAsia="ro-MD"/>
        </w:rPr>
        <w:t>3) să aplice valoarea ajustării de volatilitate sau, dacă este cazul, valoarea absolută a ajustării de volatilitate adecvate unui anumit grup de valori mobiliare sau pentru un anumit tip de mărfuri, valorii absolute a poziției nete pozitive sau negative în valorile mobiliare din grupul respectiv de valori mobiliare, sau pe mărfurile din acel tip de mărfuri;</w:t>
      </w:r>
      <w:r w:rsidRPr="002D468A">
        <w:rPr>
          <w:color w:val="000000" w:themeColor="text1"/>
          <w:lang w:val="ro-RO" w:eastAsia="ro-MD"/>
        </w:rPr>
        <w:t>”.</w:t>
      </w:r>
    </w:p>
    <w:p w14:paraId="541FBDDB" w14:textId="7686B161" w:rsidR="00831AF6" w:rsidRPr="002D468A" w:rsidRDefault="006F2AB2" w:rsidP="00831AF6">
      <w:pPr>
        <w:pStyle w:val="ListParagraph"/>
        <w:numPr>
          <w:ilvl w:val="1"/>
          <w:numId w:val="27"/>
        </w:numPr>
        <w:tabs>
          <w:tab w:val="left" w:pos="567"/>
        </w:tabs>
        <w:spacing w:before="80"/>
        <w:ind w:left="0" w:firstLine="567"/>
        <w:contextualSpacing w:val="0"/>
        <w:jc w:val="both"/>
        <w:rPr>
          <w:color w:val="000000" w:themeColor="text1"/>
          <w:lang w:val="ro-MD"/>
        </w:rPr>
      </w:pPr>
      <w:r w:rsidRPr="002D468A">
        <w:rPr>
          <w:color w:val="000000" w:themeColor="text1"/>
          <w:lang w:val="ro-MD"/>
        </w:rPr>
        <w:t>Punctul 70 va avea</w:t>
      </w:r>
      <w:r w:rsidR="00831AF6" w:rsidRPr="002D468A">
        <w:rPr>
          <w:color w:val="000000" w:themeColor="text1"/>
          <w:lang w:val="ro-MD"/>
        </w:rPr>
        <w:t xml:space="preserve"> următorul cuprins:</w:t>
      </w:r>
    </w:p>
    <w:p w14:paraId="1449CDB2" w14:textId="77777777" w:rsidR="006F2AB2" w:rsidRPr="002D468A" w:rsidRDefault="00831AF6" w:rsidP="006F2AB2">
      <w:pPr>
        <w:jc w:val="both"/>
        <w:rPr>
          <w:color w:val="000000" w:themeColor="text1"/>
          <w:lang w:val="ro-RO" w:eastAsia="ro-MD"/>
        </w:rPr>
      </w:pPr>
      <w:r w:rsidRPr="002D468A">
        <w:rPr>
          <w:color w:val="000000" w:themeColor="text1"/>
          <w:lang w:val="ro-MD"/>
        </w:rPr>
        <w:t>„</w:t>
      </w:r>
      <w:r w:rsidR="006F2AB2" w:rsidRPr="002D468A">
        <w:rPr>
          <w:b/>
          <w:bCs/>
          <w:color w:val="000000" w:themeColor="text1"/>
          <w:lang w:val="ro-RO" w:eastAsia="ro-MD"/>
        </w:rPr>
        <w:t>70.</w:t>
      </w:r>
      <w:r w:rsidR="006F2AB2" w:rsidRPr="002D468A">
        <w:rPr>
          <w:color w:val="000000" w:themeColor="text1"/>
          <w:lang w:val="ro-RO" w:eastAsia="ro-MD"/>
        </w:rPr>
        <w:t xml:space="preserve"> Băncile trebuie să calculeze valoarea ajustată integral a expunerii (E*) conform următoarei formule:</w:t>
      </w:r>
    </w:p>
    <w:p w14:paraId="2D3BB3A4" w14:textId="77777777" w:rsidR="006F2AB2" w:rsidRPr="002D468A" w:rsidRDefault="006F2AB2" w:rsidP="006F2AB2">
      <w:pPr>
        <w:jc w:val="both"/>
        <w:rPr>
          <w:color w:val="000000" w:themeColor="text1"/>
          <w:lang w:val="ro-RO" w:eastAsia="ro-MD"/>
        </w:rPr>
      </w:pPr>
      <w:r w:rsidRPr="002D468A">
        <w:rPr>
          <w:noProof/>
          <w:color w:val="000000" w:themeColor="text1"/>
        </w:rPr>
        <w:drawing>
          <wp:inline distT="0" distB="0" distL="0" distR="0" wp14:anchorId="74B97736" wp14:editId="0A1F58BE">
            <wp:extent cx="5495925" cy="771525"/>
            <wp:effectExtent l="0" t="0" r="0" b="0"/>
            <wp:docPr id="22" name="Picture 2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95925" cy="771525"/>
                    </a:xfrm>
                    <a:prstGeom prst="rect">
                      <a:avLst/>
                    </a:prstGeom>
                    <a:noFill/>
                    <a:ln>
                      <a:noFill/>
                    </a:ln>
                  </pic:spPr>
                </pic:pic>
              </a:graphicData>
            </a:graphic>
          </wp:inline>
        </w:drawing>
      </w:r>
      <w:r w:rsidRPr="002D468A">
        <w:rPr>
          <w:color w:val="000000" w:themeColor="text1"/>
          <w:lang w:val="ro-RO" w:eastAsia="ro-MD"/>
        </w:rPr>
        <w:t> </w:t>
      </w:r>
    </w:p>
    <w:p w14:paraId="666762E2" w14:textId="77777777" w:rsidR="006F2AB2" w:rsidRPr="002D468A" w:rsidRDefault="006F2AB2" w:rsidP="006F2AB2">
      <w:pPr>
        <w:ind w:firstLine="567"/>
        <w:jc w:val="both"/>
        <w:rPr>
          <w:color w:val="000000" w:themeColor="text1"/>
          <w:lang w:val="ro-RO" w:eastAsia="ro-MD"/>
        </w:rPr>
      </w:pPr>
      <w:r w:rsidRPr="002D468A">
        <w:rPr>
          <w:color w:val="000000" w:themeColor="text1"/>
          <w:lang w:val="ro-RO" w:eastAsia="ro-MD"/>
        </w:rPr>
        <w:t>unde:</w:t>
      </w:r>
    </w:p>
    <w:p w14:paraId="27495CCF" w14:textId="77777777" w:rsidR="006F2AB2" w:rsidRPr="002D468A" w:rsidRDefault="006F2AB2" w:rsidP="006F2AB2">
      <w:pPr>
        <w:ind w:firstLine="567"/>
        <w:jc w:val="both"/>
        <w:rPr>
          <w:color w:val="000000" w:themeColor="text1"/>
          <w:lang w:val="ro-RO" w:eastAsia="ro-MD"/>
        </w:rPr>
      </w:pPr>
      <w:r w:rsidRPr="002D468A">
        <w:rPr>
          <w:color w:val="000000" w:themeColor="text1"/>
          <w:lang w:val="ro-RO" w:eastAsia="ro-MD"/>
        </w:rPr>
        <w:t xml:space="preserve">i = indicele care desemnează toate titlurile de valoare, mărfurile sau pozițiile în numerar separate din cadrul acordului care sunt date cu împrumut, vândute cu acordul de a răscumpăra sau furnizate de bancă </w:t>
      </w:r>
      <w:proofErr w:type="spellStart"/>
      <w:r w:rsidRPr="002D468A">
        <w:rPr>
          <w:color w:val="000000" w:themeColor="text1"/>
          <w:lang w:val="ro-RO" w:eastAsia="ro-MD"/>
        </w:rPr>
        <w:t>contrapărții</w:t>
      </w:r>
      <w:proofErr w:type="spellEnd"/>
      <w:r w:rsidRPr="002D468A">
        <w:rPr>
          <w:color w:val="000000" w:themeColor="text1"/>
          <w:lang w:val="ro-RO" w:eastAsia="ro-MD"/>
        </w:rPr>
        <w:t>;</w:t>
      </w:r>
    </w:p>
    <w:p w14:paraId="447A2978" w14:textId="77777777" w:rsidR="006F2AB2" w:rsidRPr="002D468A" w:rsidRDefault="006F2AB2" w:rsidP="006F2AB2">
      <w:pPr>
        <w:ind w:firstLine="567"/>
        <w:jc w:val="both"/>
        <w:rPr>
          <w:color w:val="000000" w:themeColor="text1"/>
          <w:lang w:val="ro-RO" w:eastAsia="ro-MD"/>
        </w:rPr>
      </w:pPr>
      <w:r w:rsidRPr="002D468A">
        <w:rPr>
          <w:color w:val="000000" w:themeColor="text1"/>
          <w:lang w:val="ro-RO" w:eastAsia="ro-MD"/>
        </w:rPr>
        <w:t>j = indicele care desemnează toate titlurile de valoare, mărfurile sau pozițiile în numerar separate din cadrul acordului care sunt luate cu împrumut, achiziționate cu acordul de a revinde sau deținute de bancă;</w:t>
      </w:r>
    </w:p>
    <w:p w14:paraId="1D95CA3F" w14:textId="77777777" w:rsidR="006F2AB2" w:rsidRPr="002D468A" w:rsidRDefault="006F2AB2" w:rsidP="006F2AB2">
      <w:pPr>
        <w:ind w:firstLine="567"/>
        <w:jc w:val="both"/>
        <w:rPr>
          <w:color w:val="000000" w:themeColor="text1"/>
          <w:lang w:val="ro-RO" w:eastAsia="ro-MD"/>
        </w:rPr>
      </w:pPr>
      <w:r w:rsidRPr="002D468A">
        <w:rPr>
          <w:color w:val="000000" w:themeColor="text1"/>
          <w:lang w:val="ro-RO" w:eastAsia="ro-MD"/>
        </w:rPr>
        <w:t>k = indicele care desemnează toate monedele separate în care sunt denominate titlurile de valoare, mărfurile sau pozițiile în numerar din cadrul acordului;</w:t>
      </w:r>
    </w:p>
    <w:p w14:paraId="167C8AB6" w14:textId="5DF1BBCB" w:rsidR="006F2AB2" w:rsidRPr="002D468A" w:rsidRDefault="006F2AB2" w:rsidP="006F2AB2">
      <w:pPr>
        <w:ind w:firstLine="567"/>
        <w:jc w:val="both"/>
        <w:rPr>
          <w:color w:val="000000" w:themeColor="text1"/>
          <w:lang w:val="ro-RO" w:eastAsia="ro-MD"/>
        </w:rPr>
      </w:pPr>
      <w:r w:rsidRPr="002D468A">
        <w:rPr>
          <w:color w:val="000000" w:themeColor="text1"/>
          <w:lang w:val="ro-RO" w:eastAsia="ro-MD"/>
        </w:rPr>
        <w:t>E</w:t>
      </w:r>
      <w:r w:rsidRPr="002D468A">
        <w:rPr>
          <w:color w:val="000000" w:themeColor="text1"/>
          <w:vertAlign w:val="subscript"/>
          <w:lang w:val="ro-RO" w:eastAsia="ro-MD"/>
        </w:rPr>
        <w:t>i</w:t>
      </w:r>
      <w:r w:rsidRPr="002D468A">
        <w:rPr>
          <w:color w:val="000000" w:themeColor="text1"/>
          <w:lang w:val="ro-RO" w:eastAsia="ro-MD"/>
        </w:rPr>
        <w:t xml:space="preserve"> = valoarea expunerii pentru un anumit titlu de valoare, o anumită marfă sau o anumită poziție în numerar i, care este dat(ă) cu împrumut, vândut(ă) cu un acord de răscumpărare sau furnizat(ă) </w:t>
      </w:r>
      <w:proofErr w:type="spellStart"/>
      <w:r w:rsidRPr="002D468A">
        <w:rPr>
          <w:color w:val="000000" w:themeColor="text1"/>
          <w:lang w:val="ro-RO" w:eastAsia="ro-MD"/>
        </w:rPr>
        <w:t>contrapărții</w:t>
      </w:r>
      <w:proofErr w:type="spellEnd"/>
      <w:r w:rsidRPr="002D468A">
        <w:rPr>
          <w:color w:val="000000" w:themeColor="text1"/>
          <w:lang w:val="ro-RO" w:eastAsia="ro-MD"/>
        </w:rPr>
        <w:t xml:space="preserve"> în cadrul acordului, valoare care s-ar aplica în lipsa unei protecții a creditului în cazul în care băncile calculează valorile ponderate la risc ale expunerilor în conformitate cu Regulamentul nr.111/2018 sau actul normativ al Băncii Naționale a Moldovei aferent tratamentului riscului de credit potrivit abordării bazate pe modele interne de rating, după caz;</w:t>
      </w:r>
    </w:p>
    <w:p w14:paraId="7923B28C" w14:textId="77777777" w:rsidR="006F2AB2" w:rsidRPr="002D468A" w:rsidRDefault="006F2AB2" w:rsidP="006F2AB2">
      <w:pPr>
        <w:ind w:firstLine="567"/>
        <w:jc w:val="both"/>
        <w:rPr>
          <w:color w:val="000000" w:themeColor="text1"/>
          <w:lang w:val="ro-RO" w:eastAsia="ro-MD"/>
        </w:rPr>
      </w:pPr>
      <w:proofErr w:type="spellStart"/>
      <w:r w:rsidRPr="002D468A">
        <w:rPr>
          <w:color w:val="000000" w:themeColor="text1"/>
          <w:lang w:val="ro-RO" w:eastAsia="ro-MD"/>
        </w:rPr>
        <w:t>C</w:t>
      </w:r>
      <w:r w:rsidRPr="002D468A">
        <w:rPr>
          <w:color w:val="000000" w:themeColor="text1"/>
          <w:vertAlign w:val="subscript"/>
          <w:lang w:val="ro-RO" w:eastAsia="ro-MD"/>
        </w:rPr>
        <w:t>j</w:t>
      </w:r>
      <w:proofErr w:type="spellEnd"/>
      <w:r w:rsidRPr="002D468A">
        <w:rPr>
          <w:color w:val="000000" w:themeColor="text1"/>
          <w:vertAlign w:val="subscript"/>
          <w:lang w:val="ro-RO" w:eastAsia="ro-MD"/>
        </w:rPr>
        <w:t xml:space="preserve"> </w:t>
      </w:r>
      <w:r w:rsidRPr="002D468A">
        <w:rPr>
          <w:color w:val="000000" w:themeColor="text1"/>
          <w:lang w:val="ro-RO" w:eastAsia="ro-MD"/>
        </w:rPr>
        <w:t>= valoarea unui anumit titlu de valoare, a unei anumite mărfuri sau a unei anumite poziții în mijloace bănești j, care este luat(ă) cu împrumut, achiziționat(ă) cu un acord de revânzare sau deținut(ă) de bancă în cadrul acordului;</w:t>
      </w:r>
    </w:p>
    <w:p w14:paraId="6985AF2D" w14:textId="77777777" w:rsidR="006F2AB2" w:rsidRPr="002D468A" w:rsidRDefault="006F2AB2" w:rsidP="006F2AB2">
      <w:pPr>
        <w:ind w:firstLine="567"/>
        <w:jc w:val="both"/>
        <w:rPr>
          <w:color w:val="000000" w:themeColor="text1"/>
          <w:lang w:val="ro-RO" w:eastAsia="ro-MD"/>
        </w:rPr>
      </w:pPr>
      <w:proofErr w:type="spellStart"/>
      <w:r w:rsidRPr="002D468A">
        <w:rPr>
          <w:color w:val="000000" w:themeColor="text1"/>
          <w:lang w:val="ro-RO" w:eastAsia="ro-MD"/>
        </w:rPr>
        <w:t>E</w:t>
      </w:r>
      <w:r w:rsidRPr="002D468A">
        <w:rPr>
          <w:color w:val="000000" w:themeColor="text1"/>
          <w:vertAlign w:val="subscript"/>
          <w:lang w:val="ro-RO" w:eastAsia="ro-MD"/>
        </w:rPr>
        <w:t>k</w:t>
      </w:r>
      <w:r w:rsidRPr="002D468A">
        <w:rPr>
          <w:color w:val="000000" w:themeColor="text1"/>
          <w:vertAlign w:val="superscript"/>
          <w:lang w:val="ro-RO" w:eastAsia="ro-MD"/>
        </w:rPr>
        <w:t>fx</w:t>
      </w:r>
      <w:proofErr w:type="spellEnd"/>
      <w:r w:rsidRPr="002D468A">
        <w:rPr>
          <w:color w:val="000000" w:themeColor="text1"/>
          <w:lang w:val="ro-RO" w:eastAsia="ro-MD"/>
        </w:rPr>
        <w:t xml:space="preserve"> = poziția netă (pozitivă sau negativă) într-o monedă dată </w:t>
      </w:r>
      <w:r w:rsidRPr="002D468A">
        <w:rPr>
          <w:i/>
          <w:iCs/>
          <w:color w:val="000000" w:themeColor="text1"/>
          <w:lang w:val="ro-RO" w:eastAsia="ro-MD"/>
        </w:rPr>
        <w:t>k</w:t>
      </w:r>
      <w:r w:rsidRPr="002D468A">
        <w:rPr>
          <w:color w:val="000000" w:themeColor="text1"/>
          <w:lang w:val="ro-RO" w:eastAsia="ro-MD"/>
        </w:rPr>
        <w:t>, alta decât moneda de decontare a acordului, astfel cum este calculată în conformitate cu punctul 69 subpunctul 2);</w:t>
      </w:r>
    </w:p>
    <w:p w14:paraId="489E372D" w14:textId="77777777" w:rsidR="006F2AB2" w:rsidRPr="002D468A" w:rsidRDefault="006F2AB2" w:rsidP="006F2AB2">
      <w:pPr>
        <w:ind w:firstLine="567"/>
        <w:jc w:val="both"/>
        <w:rPr>
          <w:color w:val="000000" w:themeColor="text1"/>
          <w:lang w:val="ro-RO" w:eastAsia="ro-MD"/>
        </w:rPr>
      </w:pPr>
      <w:proofErr w:type="spellStart"/>
      <w:r w:rsidRPr="002D468A">
        <w:rPr>
          <w:color w:val="000000" w:themeColor="text1"/>
          <w:lang w:val="ro-RO" w:eastAsia="ro-MD"/>
        </w:rPr>
        <w:t>H</w:t>
      </w:r>
      <w:r w:rsidRPr="002D468A">
        <w:rPr>
          <w:color w:val="000000" w:themeColor="text1"/>
          <w:vertAlign w:val="subscript"/>
          <w:lang w:val="ro-RO" w:eastAsia="ro-MD"/>
        </w:rPr>
        <w:t>j</w:t>
      </w:r>
      <w:r w:rsidRPr="002D468A">
        <w:rPr>
          <w:color w:val="000000" w:themeColor="text1"/>
          <w:vertAlign w:val="superscript"/>
          <w:lang w:val="ro-RO" w:eastAsia="ro-MD"/>
        </w:rPr>
        <w:t>sec</w:t>
      </w:r>
      <w:proofErr w:type="spellEnd"/>
      <w:r w:rsidRPr="002D468A">
        <w:rPr>
          <w:color w:val="000000" w:themeColor="text1"/>
          <w:lang w:val="ro-RO" w:eastAsia="ro-MD"/>
        </w:rPr>
        <w:t xml:space="preserve"> = ajustarea de volatilitate adecvată unui anumit grup de valori mobiliare </w:t>
      </w:r>
      <w:r w:rsidRPr="002D468A">
        <w:rPr>
          <w:i/>
          <w:iCs/>
          <w:color w:val="000000" w:themeColor="text1"/>
          <w:lang w:val="ro-RO" w:eastAsia="ro-MD"/>
        </w:rPr>
        <w:t>j</w:t>
      </w:r>
      <w:r w:rsidRPr="002D468A">
        <w:rPr>
          <w:color w:val="000000" w:themeColor="text1"/>
          <w:lang w:val="ro-RO" w:eastAsia="ro-MD"/>
        </w:rPr>
        <w:t>;</w:t>
      </w:r>
    </w:p>
    <w:p w14:paraId="78B78D6A" w14:textId="77777777" w:rsidR="006F2AB2" w:rsidRPr="002D468A" w:rsidRDefault="006F2AB2" w:rsidP="006F2AB2">
      <w:pPr>
        <w:ind w:firstLine="567"/>
        <w:jc w:val="both"/>
        <w:rPr>
          <w:color w:val="000000" w:themeColor="text1"/>
          <w:lang w:val="ro-RO" w:eastAsia="ro-MD"/>
        </w:rPr>
      </w:pPr>
      <w:proofErr w:type="spellStart"/>
      <w:r w:rsidRPr="002D468A">
        <w:rPr>
          <w:color w:val="000000" w:themeColor="text1"/>
          <w:lang w:val="ro-RO" w:eastAsia="ro-MD"/>
        </w:rPr>
        <w:t>H</w:t>
      </w:r>
      <w:r w:rsidRPr="002D468A">
        <w:rPr>
          <w:color w:val="000000" w:themeColor="text1"/>
          <w:vertAlign w:val="subscript"/>
          <w:lang w:val="ro-RO" w:eastAsia="ro-MD"/>
        </w:rPr>
        <w:t>k</w:t>
      </w:r>
      <w:r w:rsidRPr="002D468A">
        <w:rPr>
          <w:color w:val="000000" w:themeColor="text1"/>
          <w:vertAlign w:val="superscript"/>
          <w:lang w:val="ro-RO" w:eastAsia="ro-MD"/>
        </w:rPr>
        <w:t>fx</w:t>
      </w:r>
      <w:proofErr w:type="spellEnd"/>
      <w:r w:rsidRPr="002D468A">
        <w:rPr>
          <w:color w:val="000000" w:themeColor="text1"/>
          <w:lang w:val="ro-RO" w:eastAsia="ro-MD"/>
        </w:rPr>
        <w:t xml:space="preserve"> = ajustarea de volatilitate aferentă riscului valutar pentru moneda </w:t>
      </w:r>
      <w:r w:rsidRPr="002D468A">
        <w:rPr>
          <w:i/>
          <w:iCs/>
          <w:color w:val="000000" w:themeColor="text1"/>
          <w:lang w:val="ro-RO" w:eastAsia="ro-MD"/>
        </w:rPr>
        <w:t>k,</w:t>
      </w:r>
      <w:r w:rsidRPr="002D468A">
        <w:rPr>
          <w:color w:val="000000" w:themeColor="text1"/>
          <w:lang w:val="ro-RO" w:eastAsia="ro-MD"/>
        </w:rPr>
        <w:t xml:space="preserve"> calculată în conformitate cu secțiunea 6 din prezentul capitol.</w:t>
      </w:r>
    </w:p>
    <w:p w14:paraId="34B91412" w14:textId="77777777" w:rsidR="006F2AB2" w:rsidRPr="002D468A" w:rsidRDefault="006F2AB2" w:rsidP="006F2AB2">
      <w:pPr>
        <w:ind w:firstLine="567"/>
        <w:jc w:val="both"/>
        <w:rPr>
          <w:color w:val="000000" w:themeColor="text1"/>
          <w:lang w:val="ro-RO" w:eastAsia="ro-MD"/>
        </w:rPr>
      </w:pPr>
      <w:r w:rsidRPr="002D468A">
        <w:rPr>
          <w:noProof/>
          <w:color w:val="000000" w:themeColor="text1"/>
          <w:lang w:val="ro-RO"/>
        </w:rPr>
        <w:drawing>
          <wp:inline distT="0" distB="0" distL="0" distR="0" wp14:anchorId="6F9C29E4" wp14:editId="797E1A16">
            <wp:extent cx="323850" cy="276225"/>
            <wp:effectExtent l="0" t="0" r="0" b="0"/>
            <wp:docPr id="20" name="Picture 2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3850" cy="276225"/>
                    </a:xfrm>
                    <a:prstGeom prst="rect">
                      <a:avLst/>
                    </a:prstGeom>
                    <a:noFill/>
                    <a:ln>
                      <a:noFill/>
                    </a:ln>
                  </pic:spPr>
                </pic:pic>
              </a:graphicData>
            </a:graphic>
          </wp:inline>
        </w:drawing>
      </w:r>
      <w:r w:rsidRPr="002D468A">
        <w:rPr>
          <w:color w:val="000000" w:themeColor="text1"/>
          <w:lang w:val="ro-RO" w:eastAsia="ro-MD"/>
        </w:rPr>
        <w:t>= ajustarea de volatilitate corespunzătoare cursului de schimb aferent monedei k;</w:t>
      </w:r>
    </w:p>
    <w:p w14:paraId="3B43B40E" w14:textId="77777777" w:rsidR="006F2AB2" w:rsidRPr="002D468A" w:rsidRDefault="006F2AB2" w:rsidP="006F2AB2">
      <w:pPr>
        <w:spacing w:before="195" w:line="312" w:lineRule="atLeast"/>
        <w:ind w:firstLine="567"/>
        <w:jc w:val="both"/>
        <w:rPr>
          <w:color w:val="000000" w:themeColor="text1"/>
          <w:lang w:val="ro-RO" w:eastAsia="ro-MD"/>
        </w:rPr>
      </w:pPr>
      <w:proofErr w:type="spellStart"/>
      <w:r w:rsidRPr="002D468A">
        <w:rPr>
          <w:i/>
          <w:iCs/>
          <w:color w:val="000000" w:themeColor="text1"/>
          <w:lang w:val="ro-RO" w:eastAsia="ro-MD"/>
        </w:rPr>
        <w:t>E</w:t>
      </w:r>
      <w:r w:rsidRPr="002D468A">
        <w:rPr>
          <w:i/>
          <w:iCs/>
          <w:color w:val="000000" w:themeColor="text1"/>
          <w:vertAlign w:val="subscript"/>
          <w:lang w:val="ro-RO" w:eastAsia="ro-MD"/>
        </w:rPr>
        <w:t>net</w:t>
      </w:r>
      <w:proofErr w:type="spellEnd"/>
      <w:r w:rsidRPr="002D468A">
        <w:rPr>
          <w:i/>
          <w:iCs/>
          <w:color w:val="000000" w:themeColor="text1"/>
          <w:vertAlign w:val="subscript"/>
          <w:lang w:val="ro-RO" w:eastAsia="ro-MD"/>
        </w:rPr>
        <w:t xml:space="preserve"> = </w:t>
      </w:r>
      <w:r w:rsidRPr="002D468A">
        <w:rPr>
          <w:color w:val="000000" w:themeColor="text1"/>
          <w:lang w:val="ro-RO" w:eastAsia="ro-MD"/>
        </w:rPr>
        <w:t>expunerea netă a acordului, calculată după cum urmează:</w:t>
      </w:r>
    </w:p>
    <w:p w14:paraId="2F5F5BCC" w14:textId="77777777" w:rsidR="006F2AB2" w:rsidRPr="002D468A" w:rsidRDefault="006F2AB2" w:rsidP="006F2AB2">
      <w:pPr>
        <w:shd w:val="clear" w:color="auto" w:fill="FFFFFF"/>
        <w:spacing w:before="120" w:line="312" w:lineRule="atLeast"/>
        <w:jc w:val="both"/>
        <w:rPr>
          <w:color w:val="000000" w:themeColor="text1"/>
          <w:lang w:eastAsia="ro-MD"/>
        </w:rPr>
      </w:pPr>
      <w:r w:rsidRPr="002D468A">
        <w:rPr>
          <w:noProof/>
          <w:color w:val="000000" w:themeColor="text1"/>
        </w:rPr>
        <w:drawing>
          <wp:inline distT="0" distB="0" distL="0" distR="0" wp14:anchorId="7DAD7DA6" wp14:editId="03BA4072">
            <wp:extent cx="1847850" cy="685800"/>
            <wp:effectExtent l="0" t="0" r="0" b="0"/>
            <wp:docPr id="19" name="Picture 1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47850" cy="685800"/>
                    </a:xfrm>
                    <a:prstGeom prst="rect">
                      <a:avLst/>
                    </a:prstGeom>
                    <a:noFill/>
                    <a:ln>
                      <a:noFill/>
                    </a:ln>
                  </pic:spPr>
                </pic:pic>
              </a:graphicData>
            </a:graphic>
          </wp:inline>
        </w:drawing>
      </w:r>
    </w:p>
    <w:p w14:paraId="78516B5C" w14:textId="77777777" w:rsidR="006F2AB2" w:rsidRPr="002D468A" w:rsidRDefault="006F2AB2" w:rsidP="006F2AB2">
      <w:pPr>
        <w:shd w:val="clear" w:color="auto" w:fill="FFFFFF"/>
        <w:spacing w:before="120" w:line="312" w:lineRule="atLeast"/>
        <w:jc w:val="both"/>
        <w:rPr>
          <w:color w:val="000000" w:themeColor="text1"/>
          <w:lang w:val="ro-RO" w:eastAsia="ro-MD"/>
        </w:rPr>
      </w:pPr>
      <w:r w:rsidRPr="002D468A">
        <w:rPr>
          <w:color w:val="000000" w:themeColor="text1"/>
          <w:lang w:val="ro-RO" w:eastAsia="ro-MD"/>
        </w:rPr>
        <w:lastRenderedPageBreak/>
        <w:t>unde:</w:t>
      </w:r>
    </w:p>
    <w:tbl>
      <w:tblPr>
        <w:tblW w:w="5000" w:type="pct"/>
        <w:tblCellMar>
          <w:left w:w="0" w:type="dxa"/>
          <w:right w:w="0" w:type="dxa"/>
        </w:tblCellMar>
        <w:tblLook w:val="04A0" w:firstRow="1" w:lastRow="0" w:firstColumn="1" w:lastColumn="0" w:noHBand="0" w:noVBand="1"/>
      </w:tblPr>
      <w:tblGrid>
        <w:gridCol w:w="67"/>
        <w:gridCol w:w="9622"/>
      </w:tblGrid>
      <w:tr w:rsidR="006F2AB2" w:rsidRPr="002D468A" w14:paraId="64200FE9" w14:textId="77777777" w:rsidTr="003425C4">
        <w:tc>
          <w:tcPr>
            <w:tcW w:w="11" w:type="pct"/>
            <w:hideMark/>
          </w:tcPr>
          <w:p w14:paraId="6690A8D9" w14:textId="77777777" w:rsidR="006F2AB2" w:rsidRPr="002D468A" w:rsidRDefault="006F2AB2" w:rsidP="003425C4">
            <w:pPr>
              <w:spacing w:before="195" w:line="312" w:lineRule="atLeast"/>
              <w:rPr>
                <w:i/>
                <w:iCs/>
                <w:color w:val="000000" w:themeColor="text1"/>
                <w:lang w:val="ro-RO" w:eastAsia="ro-MD"/>
              </w:rPr>
            </w:pPr>
            <w:r w:rsidRPr="002D468A">
              <w:rPr>
                <w:i/>
                <w:iCs/>
                <w:color w:val="000000" w:themeColor="text1"/>
                <w:lang w:val="ro-RO" w:eastAsia="ro-MD"/>
              </w:rPr>
              <w:t>l</w:t>
            </w:r>
          </w:p>
        </w:tc>
        <w:tc>
          <w:tcPr>
            <w:tcW w:w="4989" w:type="pct"/>
            <w:hideMark/>
          </w:tcPr>
          <w:p w14:paraId="56AA738F" w14:textId="77777777" w:rsidR="006F2AB2" w:rsidRPr="002D468A" w:rsidRDefault="006F2AB2" w:rsidP="003425C4">
            <w:pPr>
              <w:spacing w:before="120" w:line="312" w:lineRule="atLeast"/>
              <w:jc w:val="both"/>
              <w:rPr>
                <w:color w:val="000000" w:themeColor="text1"/>
                <w:lang w:val="ro-RO" w:eastAsia="ro-MD"/>
              </w:rPr>
            </w:pPr>
            <w:r w:rsidRPr="002D468A">
              <w:rPr>
                <w:color w:val="000000" w:themeColor="text1"/>
                <w:lang w:val="ro-RO" w:eastAsia="ro-MD"/>
              </w:rPr>
              <w:t xml:space="preserve"> = indicele care desemnează toate grupurile distincte de aceleași titluri de valoare și toate tipurile distincte de aceleași mărfuri din cadrul acordului;</w:t>
            </w:r>
          </w:p>
        </w:tc>
      </w:tr>
    </w:tbl>
    <w:p w14:paraId="3D0F4B1E" w14:textId="77777777" w:rsidR="006F2AB2" w:rsidRPr="002D468A" w:rsidRDefault="006F2AB2" w:rsidP="006F2AB2">
      <w:pPr>
        <w:shd w:val="clear" w:color="auto" w:fill="FFFFFF"/>
        <w:rPr>
          <w:vanish/>
          <w:color w:val="000000" w:themeColor="text1"/>
          <w:lang w:val="ro-RO" w:eastAsia="ro-MD"/>
        </w:rPr>
      </w:pPr>
    </w:p>
    <w:tbl>
      <w:tblPr>
        <w:tblW w:w="5000" w:type="pct"/>
        <w:tblCellMar>
          <w:left w:w="0" w:type="dxa"/>
          <w:right w:w="0" w:type="dxa"/>
        </w:tblCellMar>
        <w:tblLook w:val="04A0" w:firstRow="1" w:lastRow="0" w:firstColumn="1" w:lastColumn="0" w:noHBand="0" w:noVBand="1"/>
      </w:tblPr>
      <w:tblGrid>
        <w:gridCol w:w="570"/>
        <w:gridCol w:w="9119"/>
      </w:tblGrid>
      <w:tr w:rsidR="006F2AB2" w:rsidRPr="002D468A" w14:paraId="56204625" w14:textId="77777777" w:rsidTr="003425C4">
        <w:tc>
          <w:tcPr>
            <w:tcW w:w="0" w:type="auto"/>
            <w:hideMark/>
          </w:tcPr>
          <w:p w14:paraId="0EC17FD7" w14:textId="77777777" w:rsidR="006F2AB2" w:rsidRPr="002D468A" w:rsidRDefault="006F2AB2" w:rsidP="003425C4">
            <w:pPr>
              <w:spacing w:before="195" w:line="312" w:lineRule="atLeast"/>
              <w:rPr>
                <w:color w:val="000000" w:themeColor="text1"/>
                <w:lang w:val="ro-RO" w:eastAsia="ro-MD"/>
              </w:rPr>
            </w:pPr>
            <w:r w:rsidRPr="002D468A">
              <w:rPr>
                <w:noProof/>
                <w:color w:val="000000" w:themeColor="text1"/>
                <w:lang w:val="ro-RO"/>
              </w:rPr>
              <w:drawing>
                <wp:inline distT="0" distB="0" distL="0" distR="0" wp14:anchorId="1B4701B3" wp14:editId="48803500">
                  <wp:extent cx="361950" cy="276225"/>
                  <wp:effectExtent l="0" t="0" r="0" b="0"/>
                  <wp:docPr id="23" name="Picture 2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p>
        </w:tc>
        <w:tc>
          <w:tcPr>
            <w:tcW w:w="0" w:type="auto"/>
            <w:hideMark/>
          </w:tcPr>
          <w:p w14:paraId="30520897" w14:textId="77777777" w:rsidR="006F2AB2" w:rsidRPr="002D468A" w:rsidRDefault="006F2AB2" w:rsidP="003425C4">
            <w:pPr>
              <w:spacing w:before="120" w:line="312" w:lineRule="atLeast"/>
              <w:jc w:val="both"/>
              <w:rPr>
                <w:color w:val="000000" w:themeColor="text1"/>
                <w:lang w:val="ro-RO" w:eastAsia="ro-MD"/>
              </w:rPr>
            </w:pPr>
            <w:r w:rsidRPr="002D468A">
              <w:rPr>
                <w:color w:val="000000" w:themeColor="text1"/>
                <w:lang w:val="ro-RO" w:eastAsia="ro-MD"/>
              </w:rPr>
              <w:t xml:space="preserve">= poziția netă (pozitivă sau negativă) pe un anumit grup de titluri de valoare </w:t>
            </w:r>
            <w:r w:rsidRPr="002D468A">
              <w:rPr>
                <w:i/>
                <w:iCs/>
                <w:color w:val="000000" w:themeColor="text1"/>
                <w:lang w:val="ro-RO" w:eastAsia="ro-MD"/>
              </w:rPr>
              <w:t>l</w:t>
            </w:r>
            <w:r w:rsidRPr="002D468A">
              <w:rPr>
                <w:color w:val="000000" w:themeColor="text1"/>
                <w:lang w:val="ro-RO" w:eastAsia="ro-MD"/>
              </w:rPr>
              <w:t xml:space="preserve"> sau pe un anumit tip de mărfuri </w:t>
            </w:r>
            <w:r w:rsidRPr="002D468A">
              <w:rPr>
                <w:i/>
                <w:iCs/>
                <w:color w:val="000000" w:themeColor="text1"/>
                <w:lang w:val="ro-RO" w:eastAsia="ro-MD"/>
              </w:rPr>
              <w:t>l</w:t>
            </w:r>
            <w:r w:rsidRPr="002D468A">
              <w:rPr>
                <w:color w:val="000000" w:themeColor="text1"/>
                <w:lang w:val="ro-RO" w:eastAsia="ro-MD"/>
              </w:rPr>
              <w:t>, din cadrul acordului, calculată în conformitate cu punctul 69 subpunctul 1);</w:t>
            </w:r>
          </w:p>
        </w:tc>
      </w:tr>
    </w:tbl>
    <w:p w14:paraId="2F2FE99C" w14:textId="77777777" w:rsidR="006F2AB2" w:rsidRPr="002D468A" w:rsidRDefault="006F2AB2" w:rsidP="006F2AB2">
      <w:pPr>
        <w:shd w:val="clear" w:color="auto" w:fill="FFFFFF"/>
        <w:rPr>
          <w:vanish/>
          <w:color w:val="000000" w:themeColor="text1"/>
          <w:lang w:val="ro-RO" w:eastAsia="ro-MD"/>
        </w:rPr>
      </w:pPr>
    </w:p>
    <w:tbl>
      <w:tblPr>
        <w:tblW w:w="5000" w:type="pct"/>
        <w:tblCellMar>
          <w:left w:w="0" w:type="dxa"/>
          <w:right w:w="0" w:type="dxa"/>
        </w:tblCellMar>
        <w:tblLook w:val="04A0" w:firstRow="1" w:lastRow="0" w:firstColumn="1" w:lastColumn="0" w:noHBand="0" w:noVBand="1"/>
      </w:tblPr>
      <w:tblGrid>
        <w:gridCol w:w="570"/>
        <w:gridCol w:w="9119"/>
      </w:tblGrid>
      <w:tr w:rsidR="006F2AB2" w:rsidRPr="002D468A" w14:paraId="55C550DB" w14:textId="77777777" w:rsidTr="003425C4">
        <w:tc>
          <w:tcPr>
            <w:tcW w:w="0" w:type="auto"/>
            <w:hideMark/>
          </w:tcPr>
          <w:p w14:paraId="5C21DC4A" w14:textId="77777777" w:rsidR="006F2AB2" w:rsidRPr="002D468A" w:rsidRDefault="006F2AB2" w:rsidP="003425C4">
            <w:pPr>
              <w:spacing w:before="195" w:line="312" w:lineRule="atLeast"/>
              <w:rPr>
                <w:color w:val="000000" w:themeColor="text1"/>
                <w:lang w:val="ro-RO" w:eastAsia="ro-MD"/>
              </w:rPr>
            </w:pPr>
            <w:r w:rsidRPr="002D468A">
              <w:rPr>
                <w:noProof/>
                <w:color w:val="000000" w:themeColor="text1"/>
                <w:lang w:val="ro-RO"/>
              </w:rPr>
              <w:drawing>
                <wp:inline distT="0" distB="0" distL="0" distR="0" wp14:anchorId="6DDF2662" wp14:editId="1859CFA9">
                  <wp:extent cx="361950" cy="276225"/>
                  <wp:effectExtent l="0" t="0" r="0" b="0"/>
                  <wp:docPr id="24" name="Picture 2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p>
        </w:tc>
        <w:tc>
          <w:tcPr>
            <w:tcW w:w="0" w:type="auto"/>
            <w:hideMark/>
          </w:tcPr>
          <w:p w14:paraId="1A0CDBD3" w14:textId="77777777" w:rsidR="006F2AB2" w:rsidRPr="002D468A" w:rsidRDefault="006F2AB2" w:rsidP="003425C4">
            <w:pPr>
              <w:spacing w:before="120" w:line="312" w:lineRule="atLeast"/>
              <w:jc w:val="both"/>
              <w:rPr>
                <w:color w:val="000000" w:themeColor="text1"/>
                <w:lang w:val="ro-RO" w:eastAsia="ro-MD"/>
              </w:rPr>
            </w:pPr>
            <w:r w:rsidRPr="002D468A">
              <w:rPr>
                <w:color w:val="000000" w:themeColor="text1"/>
                <w:lang w:val="ro-RO" w:eastAsia="ro-MD"/>
              </w:rPr>
              <w:t xml:space="preserve">= ajustarea de volatilitate corespunzătoare unui anumit grup de titluri de valoare l sau unui anumit tip de mărfuri </w:t>
            </w:r>
            <w:r w:rsidRPr="002D468A">
              <w:rPr>
                <w:i/>
                <w:iCs/>
                <w:color w:val="000000" w:themeColor="text1"/>
                <w:lang w:val="ro-RO" w:eastAsia="ro-MD"/>
              </w:rPr>
              <w:t>l</w:t>
            </w:r>
            <w:r w:rsidRPr="002D468A">
              <w:rPr>
                <w:color w:val="000000" w:themeColor="text1"/>
                <w:lang w:val="ro-RO" w:eastAsia="ro-MD"/>
              </w:rPr>
              <w:t>, stabilită în conformitate cu punctul 69 subpunctul 3); semnul </w:t>
            </w:r>
            <w:r w:rsidRPr="002D468A">
              <w:rPr>
                <w:noProof/>
                <w:color w:val="000000" w:themeColor="text1"/>
                <w:lang w:val="ro-RO"/>
              </w:rPr>
              <w:drawing>
                <wp:inline distT="0" distB="0" distL="0" distR="0" wp14:anchorId="6C15896A" wp14:editId="35C31718">
                  <wp:extent cx="361950" cy="276225"/>
                  <wp:effectExtent l="0" t="0" r="0" b="0"/>
                  <wp:docPr id="25" name="Picture 2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2D468A">
              <w:rPr>
                <w:color w:val="000000" w:themeColor="text1"/>
                <w:lang w:val="ro-RO" w:eastAsia="ro-MD"/>
              </w:rPr>
              <w:t> se stabilește după cum urmează:</w:t>
            </w:r>
          </w:p>
          <w:p w14:paraId="7A59F86D" w14:textId="77777777" w:rsidR="006F2AB2" w:rsidRPr="002D468A" w:rsidRDefault="006F2AB2" w:rsidP="003425C4">
            <w:pPr>
              <w:jc w:val="both"/>
              <w:rPr>
                <w:color w:val="000000" w:themeColor="text1"/>
                <w:lang w:val="ro-RO" w:eastAsia="ro-MD"/>
              </w:rPr>
            </w:pPr>
            <w:r w:rsidRPr="002D468A">
              <w:rPr>
                <w:color w:val="000000" w:themeColor="text1"/>
                <w:lang w:val="ro-RO" w:eastAsia="ro-MD"/>
              </w:rPr>
              <w:t xml:space="preserve">1) semn pozitiv în cazul în care grupul de titluri de valoare </w:t>
            </w:r>
            <w:r w:rsidRPr="002D468A">
              <w:rPr>
                <w:i/>
                <w:iCs/>
                <w:color w:val="000000" w:themeColor="text1"/>
                <w:lang w:val="ro-RO" w:eastAsia="ro-MD"/>
              </w:rPr>
              <w:t>l</w:t>
            </w:r>
            <w:r w:rsidRPr="002D468A">
              <w:rPr>
                <w:color w:val="000000" w:themeColor="text1"/>
                <w:lang w:val="ro-RO" w:eastAsia="ro-MD"/>
              </w:rPr>
              <w:t xml:space="preserve"> este dat cu împrumut, vândut cu un acord de răscumpărare sau tranzacționat într-un mod similar cu darea cu împrumut de titluri de valoare sau cu un acord </w:t>
            </w:r>
            <w:proofErr w:type="spellStart"/>
            <w:r w:rsidRPr="002D468A">
              <w:rPr>
                <w:color w:val="000000" w:themeColor="text1"/>
                <w:lang w:val="ro-RO" w:eastAsia="ro-MD"/>
              </w:rPr>
              <w:t>repo</w:t>
            </w:r>
            <w:proofErr w:type="spellEnd"/>
            <w:r w:rsidRPr="002D468A">
              <w:rPr>
                <w:color w:val="000000" w:themeColor="text1"/>
                <w:lang w:val="ro-RO" w:eastAsia="ro-MD"/>
              </w:rPr>
              <w:t>;</w:t>
            </w:r>
          </w:p>
          <w:p w14:paraId="689C7870" w14:textId="77777777" w:rsidR="006F2AB2" w:rsidRPr="002D468A" w:rsidRDefault="006F2AB2" w:rsidP="003425C4">
            <w:pPr>
              <w:jc w:val="both"/>
              <w:rPr>
                <w:color w:val="000000" w:themeColor="text1"/>
                <w:lang w:val="ro-RO" w:eastAsia="ro-MD"/>
              </w:rPr>
            </w:pPr>
            <w:r w:rsidRPr="002D468A">
              <w:rPr>
                <w:color w:val="000000" w:themeColor="text1"/>
                <w:lang w:val="ro-RO" w:eastAsia="ro-MD"/>
              </w:rPr>
              <w:t xml:space="preserve">2) semn negativ în cazul în care grupul de titluri de valoare </w:t>
            </w:r>
            <w:r w:rsidRPr="002D468A">
              <w:rPr>
                <w:i/>
                <w:iCs/>
                <w:color w:val="000000" w:themeColor="text1"/>
                <w:lang w:val="ro-RO" w:eastAsia="ro-MD"/>
              </w:rPr>
              <w:t>l</w:t>
            </w:r>
            <w:r w:rsidRPr="002D468A">
              <w:rPr>
                <w:color w:val="000000" w:themeColor="text1"/>
                <w:lang w:val="ro-RO" w:eastAsia="ro-MD"/>
              </w:rPr>
              <w:t xml:space="preserve"> este luat cu împrumut, achiziționat cu un acord de revânzare sau tranzacționat într-un mod similar cu luarea cu împrumut de titluri de valoare sau cu un acord reverse </w:t>
            </w:r>
            <w:proofErr w:type="spellStart"/>
            <w:r w:rsidRPr="002D468A">
              <w:rPr>
                <w:color w:val="000000" w:themeColor="text1"/>
                <w:lang w:val="ro-RO" w:eastAsia="ro-MD"/>
              </w:rPr>
              <w:t>repo</w:t>
            </w:r>
            <w:proofErr w:type="spellEnd"/>
            <w:r w:rsidRPr="002D468A">
              <w:rPr>
                <w:color w:val="000000" w:themeColor="text1"/>
                <w:lang w:val="ro-RO" w:eastAsia="ro-MD"/>
              </w:rPr>
              <w:t>;</w:t>
            </w:r>
          </w:p>
        </w:tc>
      </w:tr>
      <w:tr w:rsidR="006F2AB2" w:rsidRPr="002D468A" w14:paraId="74801C05" w14:textId="77777777" w:rsidTr="003425C4">
        <w:tc>
          <w:tcPr>
            <w:tcW w:w="0" w:type="auto"/>
            <w:hideMark/>
          </w:tcPr>
          <w:p w14:paraId="75956F49" w14:textId="77777777" w:rsidR="006F2AB2" w:rsidRPr="002D468A" w:rsidRDefault="006F2AB2" w:rsidP="003425C4">
            <w:pPr>
              <w:spacing w:before="195" w:line="312" w:lineRule="atLeast"/>
              <w:rPr>
                <w:b/>
                <w:bCs/>
                <w:color w:val="000000" w:themeColor="text1"/>
                <w:lang w:val="ro-RO" w:eastAsia="ro-MD"/>
              </w:rPr>
            </w:pPr>
            <w:r w:rsidRPr="002D468A">
              <w:rPr>
                <w:b/>
                <w:bCs/>
                <w:color w:val="000000" w:themeColor="text1"/>
                <w:lang w:val="ro-RO" w:eastAsia="ro-MD"/>
              </w:rPr>
              <w:t>N</w:t>
            </w:r>
          </w:p>
        </w:tc>
        <w:tc>
          <w:tcPr>
            <w:tcW w:w="0" w:type="auto"/>
            <w:hideMark/>
          </w:tcPr>
          <w:p w14:paraId="00DB34AA" w14:textId="1BA091D6" w:rsidR="006F2AB2" w:rsidRPr="002D468A" w:rsidRDefault="006F2AB2" w:rsidP="003425C4">
            <w:pPr>
              <w:spacing w:before="195" w:line="312" w:lineRule="atLeast"/>
              <w:jc w:val="both"/>
              <w:rPr>
                <w:color w:val="000000" w:themeColor="text1"/>
                <w:lang w:val="ro-RO" w:eastAsia="ro-MD"/>
              </w:rPr>
            </w:pPr>
            <w:r w:rsidRPr="002D468A">
              <w:rPr>
                <w:color w:val="000000" w:themeColor="text1"/>
                <w:lang w:val="ro-RO" w:eastAsia="ro-MD"/>
              </w:rPr>
              <w:t>= numărul total de grupuri distincte de aceleași titluri de valoare și de tipuri distincte de aceleași mărfuri din cadrul acordului; în scopul acestui calcul, nu se iau în considerare grupurile și tipurile </w:t>
            </w:r>
            <m:oMath>
              <m:sSubSup>
                <m:sSubSupPr>
                  <m:ctrlPr>
                    <w:rPr>
                      <w:rFonts w:ascii="Cambria Math" w:hAnsi="Cambria Math"/>
                      <w:i/>
                      <w:color w:val="000000" w:themeColor="text1"/>
                      <w:lang w:val="ro-RO" w:eastAsia="ro-MD"/>
                    </w:rPr>
                  </m:ctrlPr>
                </m:sSubSupPr>
                <m:e>
                  <m:r>
                    <w:rPr>
                      <w:rFonts w:ascii="Cambria Math" w:hAnsi="Cambria Math"/>
                      <w:color w:val="000000" w:themeColor="text1"/>
                      <w:lang w:val="ro-RO" w:eastAsia="ro-MD"/>
                    </w:rPr>
                    <m:t>E</m:t>
                  </m:r>
                </m:e>
                <m:sub>
                  <m:r>
                    <w:rPr>
                      <w:rFonts w:ascii="Cambria Math" w:hAnsi="Cambria Math"/>
                      <w:color w:val="000000" w:themeColor="text1"/>
                      <w:lang w:val="ro-RO" w:eastAsia="ro-MD"/>
                    </w:rPr>
                    <m:t>l</m:t>
                  </m:r>
                </m:sub>
                <m:sup>
                  <m:r>
                    <w:rPr>
                      <w:rFonts w:ascii="Cambria Math" w:hAnsi="Cambria Math"/>
                      <w:color w:val="000000" w:themeColor="text1"/>
                      <w:lang w:val="ro-RO" w:eastAsia="ro-MD"/>
                    </w:rPr>
                    <m:t>sec</m:t>
                  </m:r>
                </m:sup>
              </m:sSubSup>
            </m:oMath>
            <w:r w:rsidRPr="002D468A">
              <w:rPr>
                <w:color w:val="000000" w:themeColor="text1"/>
                <w:lang w:val="ro-RO" w:eastAsia="ro-MD"/>
              </w:rPr>
              <w:t> pentru care</w:t>
            </w:r>
            <w:r w:rsidR="008453ED" w:rsidRPr="002D468A">
              <w:rPr>
                <w:color w:val="000000" w:themeColor="text1"/>
                <w:lang w:val="ro-RO" w:eastAsia="ro-MD"/>
              </w:rPr>
              <w:t xml:space="preserve"> </w:t>
            </w:r>
            <m:oMath>
              <m:d>
                <m:dPr>
                  <m:begChr m:val="|"/>
                  <m:endChr m:val="|"/>
                  <m:ctrlPr>
                    <w:rPr>
                      <w:rFonts w:ascii="Cambria Math" w:hAnsi="Cambria Math"/>
                      <w:i/>
                      <w:color w:val="000000" w:themeColor="text1"/>
                      <w:lang w:val="ro-RO" w:eastAsia="ro-MD"/>
                    </w:rPr>
                  </m:ctrlPr>
                </m:dPr>
                <m:e>
                  <m:sSubSup>
                    <m:sSubSupPr>
                      <m:ctrlPr>
                        <w:rPr>
                          <w:rFonts w:ascii="Cambria Math" w:hAnsi="Cambria Math"/>
                          <w:i/>
                          <w:color w:val="000000" w:themeColor="text1"/>
                          <w:lang w:val="ro-RO" w:eastAsia="ro-MD"/>
                        </w:rPr>
                      </m:ctrlPr>
                    </m:sSubSupPr>
                    <m:e>
                      <m:r>
                        <w:rPr>
                          <w:rFonts w:ascii="Cambria Math" w:hAnsi="Cambria Math"/>
                          <w:color w:val="000000" w:themeColor="text1"/>
                          <w:lang w:val="ro-RO" w:eastAsia="ro-MD"/>
                        </w:rPr>
                        <m:t>E</m:t>
                      </m:r>
                    </m:e>
                    <m:sub>
                      <m:r>
                        <w:rPr>
                          <w:rFonts w:ascii="Cambria Math" w:hAnsi="Cambria Math"/>
                          <w:color w:val="000000" w:themeColor="text1"/>
                          <w:lang w:val="ro-RO" w:eastAsia="ro-MD"/>
                        </w:rPr>
                        <m:t>l</m:t>
                      </m:r>
                    </m:sub>
                    <m:sup>
                      <m:r>
                        <w:rPr>
                          <w:rFonts w:ascii="Cambria Math" w:hAnsi="Cambria Math"/>
                          <w:color w:val="000000" w:themeColor="text1"/>
                          <w:lang w:val="ro-RO" w:eastAsia="ro-MD"/>
                        </w:rPr>
                        <m:t>sec</m:t>
                      </m:r>
                    </m:sup>
                  </m:sSubSup>
                </m:e>
              </m:d>
            </m:oMath>
            <w:r w:rsidRPr="002D468A">
              <w:rPr>
                <w:color w:val="000000" w:themeColor="text1"/>
                <w:lang w:val="ro-RO" w:eastAsia="ro-MD"/>
              </w:rPr>
              <w:t xml:space="preserve">este mai mică decât  </w:t>
            </w:r>
            <m:oMath>
              <m:f>
                <m:fPr>
                  <m:ctrlPr>
                    <w:rPr>
                      <w:rFonts w:ascii="Cambria Math" w:hAnsi="Cambria Math"/>
                      <w:i/>
                      <w:color w:val="000000" w:themeColor="text1"/>
                      <w:lang w:val="ro-RO" w:eastAsia="ro-MD"/>
                    </w:rPr>
                  </m:ctrlPr>
                </m:fPr>
                <m:num>
                  <m:r>
                    <w:rPr>
                      <w:rFonts w:ascii="Cambria Math" w:hAnsi="Cambria Math"/>
                      <w:color w:val="000000" w:themeColor="text1"/>
                      <w:lang w:val="ro-RO" w:eastAsia="ro-MD"/>
                    </w:rPr>
                    <m:t>1</m:t>
                  </m:r>
                </m:num>
                <m:den>
                  <m:r>
                    <w:rPr>
                      <w:rFonts w:ascii="Cambria Math" w:hAnsi="Cambria Math"/>
                      <w:color w:val="000000" w:themeColor="text1"/>
                      <w:lang w:val="ro-RO" w:eastAsia="ro-MD"/>
                    </w:rPr>
                    <m:t>10</m:t>
                  </m:r>
                </m:den>
              </m:f>
              <m:sSub>
                <m:sSubPr>
                  <m:ctrlPr>
                    <w:rPr>
                      <w:rFonts w:ascii="Cambria Math" w:hAnsi="Cambria Math"/>
                      <w:i/>
                      <w:color w:val="000000" w:themeColor="text1"/>
                      <w:lang w:val="ro-RO" w:eastAsia="ro-MD"/>
                    </w:rPr>
                  </m:ctrlPr>
                </m:sSubPr>
                <m:e>
                  <m:r>
                    <w:rPr>
                      <w:rFonts w:ascii="Cambria Math" w:hAnsi="Cambria Math"/>
                      <w:color w:val="000000" w:themeColor="text1"/>
                      <w:lang w:val="ro-RO" w:eastAsia="ro-MD"/>
                    </w:rPr>
                    <m:t>max</m:t>
                  </m:r>
                </m:e>
                <m:sub>
                  <m:r>
                    <w:rPr>
                      <w:rFonts w:ascii="Cambria Math" w:hAnsi="Cambria Math"/>
                      <w:color w:val="000000" w:themeColor="text1"/>
                      <w:lang w:val="ro-RO" w:eastAsia="ro-MD"/>
                    </w:rPr>
                    <m:t>l</m:t>
                  </m:r>
                </m:sub>
              </m:sSub>
              <m:d>
                <m:dPr>
                  <m:ctrlPr>
                    <w:rPr>
                      <w:rFonts w:ascii="Cambria Math" w:hAnsi="Cambria Math"/>
                      <w:i/>
                      <w:color w:val="000000" w:themeColor="text1"/>
                      <w:lang w:val="ro-RO" w:eastAsia="ro-MD"/>
                    </w:rPr>
                  </m:ctrlPr>
                </m:dPr>
                <m:e>
                  <m:d>
                    <m:dPr>
                      <m:begChr m:val="|"/>
                      <m:endChr m:val="|"/>
                      <m:ctrlPr>
                        <w:rPr>
                          <w:rFonts w:ascii="Cambria Math" w:hAnsi="Cambria Math"/>
                          <w:i/>
                          <w:color w:val="000000" w:themeColor="text1"/>
                          <w:lang w:val="ro-RO" w:eastAsia="ro-MD"/>
                        </w:rPr>
                      </m:ctrlPr>
                    </m:dPr>
                    <m:e>
                      <m:sSubSup>
                        <m:sSubSupPr>
                          <m:ctrlPr>
                            <w:rPr>
                              <w:rFonts w:ascii="Cambria Math" w:hAnsi="Cambria Math"/>
                              <w:i/>
                              <w:color w:val="000000" w:themeColor="text1"/>
                              <w:lang w:val="ro-RO" w:eastAsia="ro-MD"/>
                            </w:rPr>
                          </m:ctrlPr>
                        </m:sSubSupPr>
                        <m:e>
                          <m:r>
                            <w:rPr>
                              <w:rFonts w:ascii="Cambria Math" w:hAnsi="Cambria Math"/>
                              <w:color w:val="000000" w:themeColor="text1"/>
                              <w:lang w:val="ro-RO" w:eastAsia="ro-MD"/>
                            </w:rPr>
                            <m:t>E</m:t>
                          </m:r>
                        </m:e>
                        <m:sub>
                          <m:r>
                            <w:rPr>
                              <w:rFonts w:ascii="Cambria Math" w:hAnsi="Cambria Math"/>
                              <w:color w:val="000000" w:themeColor="text1"/>
                              <w:lang w:val="ro-RO" w:eastAsia="ro-MD"/>
                            </w:rPr>
                            <m:t>l</m:t>
                          </m:r>
                        </m:sub>
                        <m:sup>
                          <m:r>
                            <w:rPr>
                              <w:rFonts w:ascii="Cambria Math" w:hAnsi="Cambria Math"/>
                              <w:color w:val="000000" w:themeColor="text1"/>
                              <w:lang w:val="ro-RO" w:eastAsia="ro-MD"/>
                            </w:rPr>
                            <m:t>sec</m:t>
                          </m:r>
                        </m:sup>
                      </m:sSubSup>
                    </m:e>
                  </m:d>
                </m:e>
              </m:d>
            </m:oMath>
            <w:r w:rsidRPr="002D468A">
              <w:rPr>
                <w:color w:val="000000" w:themeColor="text1"/>
                <w:lang w:val="ro-RO" w:eastAsia="ro-MD"/>
              </w:rPr>
              <w:t>;</w:t>
            </w:r>
          </w:p>
        </w:tc>
      </w:tr>
      <w:tr w:rsidR="000B2CBE" w:rsidRPr="002D468A" w14:paraId="3A293CDA" w14:textId="77777777" w:rsidTr="003425C4">
        <w:tc>
          <w:tcPr>
            <w:tcW w:w="0" w:type="auto"/>
            <w:hideMark/>
          </w:tcPr>
          <w:p w14:paraId="6A7AFCC7" w14:textId="77777777" w:rsidR="006F2AB2" w:rsidRPr="002D468A" w:rsidRDefault="006F2AB2" w:rsidP="003425C4">
            <w:pPr>
              <w:spacing w:before="195" w:line="312" w:lineRule="atLeast"/>
              <w:rPr>
                <w:b/>
                <w:bCs/>
                <w:color w:val="000000" w:themeColor="text1"/>
                <w:lang w:val="ro-RO" w:eastAsia="ro-MD"/>
              </w:rPr>
            </w:pPr>
            <w:proofErr w:type="spellStart"/>
            <w:r w:rsidRPr="002D468A">
              <w:rPr>
                <w:b/>
                <w:bCs/>
                <w:i/>
                <w:iCs/>
                <w:color w:val="000000" w:themeColor="text1"/>
                <w:lang w:val="ro-RO" w:eastAsia="ro-MD"/>
              </w:rPr>
              <w:t>E</w:t>
            </w:r>
            <w:r w:rsidRPr="002D468A">
              <w:rPr>
                <w:b/>
                <w:bCs/>
                <w:i/>
                <w:iCs/>
                <w:color w:val="000000" w:themeColor="text1"/>
                <w:vertAlign w:val="subscript"/>
                <w:lang w:val="ro-RO" w:eastAsia="ro-MD"/>
              </w:rPr>
              <w:t>brut</w:t>
            </w:r>
            <w:proofErr w:type="spellEnd"/>
          </w:p>
        </w:tc>
        <w:tc>
          <w:tcPr>
            <w:tcW w:w="0" w:type="auto"/>
            <w:hideMark/>
          </w:tcPr>
          <w:p w14:paraId="0B403B22" w14:textId="77777777" w:rsidR="006F2AB2" w:rsidRPr="002D468A" w:rsidRDefault="006F2AB2" w:rsidP="003425C4">
            <w:pPr>
              <w:spacing w:before="120" w:line="312" w:lineRule="atLeast"/>
              <w:jc w:val="both"/>
              <w:rPr>
                <w:color w:val="000000" w:themeColor="text1"/>
                <w:lang w:val="ro-RO" w:eastAsia="ro-MD"/>
              </w:rPr>
            </w:pPr>
            <w:r w:rsidRPr="002D468A">
              <w:rPr>
                <w:color w:val="000000" w:themeColor="text1"/>
                <w:lang w:val="ro-RO" w:eastAsia="ro-MD"/>
              </w:rPr>
              <w:t>= expunerea brută a acordului, calculată după cum urmează:</w:t>
            </w:r>
          </w:p>
        </w:tc>
      </w:tr>
    </w:tbl>
    <w:p w14:paraId="5B104532" w14:textId="3EF270E2" w:rsidR="006F2AB2" w:rsidRPr="002D468A" w:rsidRDefault="006F2AB2" w:rsidP="006F2AB2">
      <w:pPr>
        <w:spacing w:before="120" w:line="312" w:lineRule="atLeast"/>
        <w:jc w:val="both"/>
        <w:rPr>
          <w:color w:val="000000" w:themeColor="text1"/>
          <w:lang w:val="ro-RO" w:eastAsia="ro-MD"/>
        </w:rPr>
      </w:pPr>
      <w:r w:rsidRPr="002D468A">
        <w:rPr>
          <w:noProof/>
          <w:color w:val="000000" w:themeColor="text1"/>
          <w:lang w:val="ro-RO"/>
        </w:rPr>
        <w:drawing>
          <wp:inline distT="0" distB="0" distL="0" distR="0" wp14:anchorId="4E865418" wp14:editId="7AB2BB29">
            <wp:extent cx="1847850" cy="685800"/>
            <wp:effectExtent l="0" t="0" r="0" b="0"/>
            <wp:docPr id="29" name="Picture 2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47850" cy="685800"/>
                    </a:xfrm>
                    <a:prstGeom prst="rect">
                      <a:avLst/>
                    </a:prstGeom>
                    <a:noFill/>
                    <a:ln>
                      <a:noFill/>
                    </a:ln>
                  </pic:spPr>
                </pic:pic>
              </a:graphicData>
            </a:graphic>
          </wp:inline>
        </w:drawing>
      </w:r>
      <w:r w:rsidR="008453ED" w:rsidRPr="002D468A">
        <w:rPr>
          <w:color w:val="000000" w:themeColor="text1"/>
          <w:lang w:val="ro-RO" w:eastAsia="ro-MD"/>
        </w:rPr>
        <w:t>”</w:t>
      </w:r>
      <w:r w:rsidRPr="002D468A">
        <w:rPr>
          <w:color w:val="000000" w:themeColor="text1"/>
          <w:lang w:val="ro-RO" w:eastAsia="ro-MD"/>
        </w:rPr>
        <w:t xml:space="preserve">.  </w:t>
      </w:r>
      <w:r w:rsidRPr="002D468A">
        <w:rPr>
          <w:color w:val="000000" w:themeColor="text1"/>
          <w:sz w:val="18"/>
          <w:szCs w:val="18"/>
          <w:lang w:val="ro-RO" w:eastAsia="ro-MD"/>
        </w:rPr>
        <w:t xml:space="preserve"> </w:t>
      </w:r>
    </w:p>
    <w:p w14:paraId="6EBDEAEE" w14:textId="7879C02F" w:rsidR="00433305" w:rsidRPr="002D468A" w:rsidRDefault="006952B7" w:rsidP="00831AF6">
      <w:pPr>
        <w:pStyle w:val="ListParagraph"/>
        <w:numPr>
          <w:ilvl w:val="1"/>
          <w:numId w:val="27"/>
        </w:numPr>
        <w:tabs>
          <w:tab w:val="left" w:pos="567"/>
        </w:tabs>
        <w:spacing w:before="80"/>
        <w:ind w:left="0" w:firstLine="567"/>
        <w:contextualSpacing w:val="0"/>
        <w:jc w:val="both"/>
        <w:rPr>
          <w:color w:val="000000" w:themeColor="text1"/>
          <w:lang w:val="ro-MD"/>
        </w:rPr>
      </w:pPr>
      <w:r w:rsidRPr="002D468A">
        <w:rPr>
          <w:color w:val="000000" w:themeColor="text1"/>
          <w:lang w:val="ro-MD"/>
        </w:rPr>
        <w:t>P</w:t>
      </w:r>
      <w:r w:rsidR="00433305" w:rsidRPr="002D468A">
        <w:rPr>
          <w:color w:val="000000" w:themeColor="text1"/>
          <w:lang w:val="ro-MD"/>
        </w:rPr>
        <w:t>unctul 71</w:t>
      </w:r>
      <w:r w:rsidRPr="002D468A">
        <w:rPr>
          <w:color w:val="000000" w:themeColor="text1"/>
          <w:lang w:val="ro-MD"/>
        </w:rPr>
        <w:t>,</w:t>
      </w:r>
      <w:r w:rsidR="005D6C7C" w:rsidRPr="002D468A">
        <w:rPr>
          <w:color w:val="000000" w:themeColor="text1"/>
          <w:lang w:val="ro-MD"/>
        </w:rPr>
        <w:t xml:space="preserve"> după cuvintele „</w:t>
      </w:r>
      <w:r w:rsidR="0073362D" w:rsidRPr="002D468A">
        <w:rPr>
          <w:color w:val="000000" w:themeColor="text1"/>
          <w:lang w:val="ro-RO" w:eastAsia="ro-MD"/>
        </w:rPr>
        <w:t>valorilor ponderate la risc ale expunerilor</w:t>
      </w:r>
      <w:r w:rsidRPr="002D468A">
        <w:rPr>
          <w:color w:val="000000" w:themeColor="text1"/>
          <w:lang w:val="ro-RO" w:eastAsia="ro-MD"/>
        </w:rPr>
        <w:t>”</w:t>
      </w:r>
      <w:r w:rsidR="0073362D" w:rsidRPr="002D468A">
        <w:rPr>
          <w:color w:val="000000" w:themeColor="text1"/>
          <w:lang w:val="ro-RO" w:eastAsia="ro-MD"/>
        </w:rPr>
        <w:t xml:space="preserve"> se completează cu cuvintele „și a cuantumurilor pierderilor așteptate”, iar la final se completează cu cuvintele „sau actului normativ al Băncii Naționale a Moldovei aferent tratamentului riscului de credit potrivit abordării IRB.”.</w:t>
      </w:r>
    </w:p>
    <w:p w14:paraId="02E5FEBB" w14:textId="5D182077" w:rsidR="00831AF6" w:rsidRPr="002D468A" w:rsidRDefault="00461AD5" w:rsidP="00831AF6">
      <w:pPr>
        <w:pStyle w:val="ListParagraph"/>
        <w:numPr>
          <w:ilvl w:val="1"/>
          <w:numId w:val="27"/>
        </w:numPr>
        <w:tabs>
          <w:tab w:val="left" w:pos="567"/>
        </w:tabs>
        <w:spacing w:before="80"/>
        <w:ind w:left="0" w:firstLine="567"/>
        <w:contextualSpacing w:val="0"/>
        <w:jc w:val="both"/>
        <w:rPr>
          <w:color w:val="000000" w:themeColor="text1"/>
          <w:lang w:val="ro-MD"/>
        </w:rPr>
      </w:pPr>
      <w:r w:rsidRPr="002D468A">
        <w:rPr>
          <w:color w:val="000000" w:themeColor="text1"/>
          <w:lang w:val="ro-MD"/>
        </w:rPr>
        <w:t>Capitolul VIII se completează cu secțiunea 2</w:t>
      </w:r>
      <w:r w:rsidRPr="002D468A">
        <w:rPr>
          <w:color w:val="000000" w:themeColor="text1"/>
          <w:vertAlign w:val="superscript"/>
          <w:lang w:val="ro-MD"/>
        </w:rPr>
        <w:t>1</w:t>
      </w:r>
      <w:r w:rsidRPr="002D468A">
        <w:rPr>
          <w:color w:val="000000" w:themeColor="text1"/>
          <w:lang w:val="ro-MD"/>
        </w:rPr>
        <w:t xml:space="preserve"> cu </w:t>
      </w:r>
      <w:r w:rsidR="007B7B46" w:rsidRPr="002D468A">
        <w:rPr>
          <w:color w:val="000000" w:themeColor="text1"/>
          <w:lang w:val="ro-MD"/>
        </w:rPr>
        <w:t>următorul cuprins:</w:t>
      </w:r>
    </w:p>
    <w:p w14:paraId="12A1E68E" w14:textId="77777777" w:rsidR="00064BD9" w:rsidRPr="002D468A" w:rsidRDefault="007B7B46" w:rsidP="00064BD9">
      <w:pPr>
        <w:jc w:val="center"/>
        <w:rPr>
          <w:color w:val="000000" w:themeColor="text1"/>
          <w:lang w:val="ro-RO" w:eastAsia="ro-MD"/>
        </w:rPr>
      </w:pPr>
      <w:r w:rsidRPr="002D468A">
        <w:rPr>
          <w:color w:val="000000" w:themeColor="text1"/>
          <w:lang w:val="ro-MD"/>
        </w:rPr>
        <w:t>„</w:t>
      </w:r>
      <w:r w:rsidR="00064BD9" w:rsidRPr="002D468A">
        <w:rPr>
          <w:b/>
          <w:bCs/>
          <w:i/>
          <w:iCs/>
          <w:color w:val="000000" w:themeColor="text1"/>
          <w:lang w:val="ro-RO" w:eastAsia="ro-MD"/>
        </w:rPr>
        <w:t>Secțiunea a 2</w:t>
      </w:r>
      <w:r w:rsidR="00064BD9" w:rsidRPr="002D468A">
        <w:rPr>
          <w:b/>
          <w:bCs/>
          <w:i/>
          <w:iCs/>
          <w:color w:val="000000" w:themeColor="text1"/>
          <w:vertAlign w:val="superscript"/>
          <w:lang w:val="ro-RO" w:eastAsia="ro-MD"/>
        </w:rPr>
        <w:t>1</w:t>
      </w:r>
      <w:r w:rsidR="00064BD9" w:rsidRPr="002D468A">
        <w:rPr>
          <w:b/>
          <w:bCs/>
          <w:i/>
          <w:iCs/>
          <w:color w:val="000000" w:themeColor="text1"/>
          <w:lang w:val="ro-RO" w:eastAsia="ro-MD"/>
        </w:rPr>
        <w:t>-a</w:t>
      </w:r>
    </w:p>
    <w:p w14:paraId="68168371" w14:textId="77777777" w:rsidR="00064BD9" w:rsidRPr="002D468A" w:rsidRDefault="00064BD9" w:rsidP="00064BD9">
      <w:pPr>
        <w:jc w:val="center"/>
        <w:rPr>
          <w:color w:val="000000" w:themeColor="text1"/>
          <w:lang w:val="ro-RO" w:eastAsia="ro-MD"/>
        </w:rPr>
      </w:pPr>
      <w:r w:rsidRPr="002D468A">
        <w:rPr>
          <w:b/>
          <w:bCs/>
          <w:i/>
          <w:iCs/>
          <w:color w:val="000000" w:themeColor="text1"/>
          <w:lang w:val="ro-RO" w:eastAsia="ro-MD"/>
        </w:rPr>
        <w:t>Utilizarea abordării bazate pe modele interne în cazul acordurilor-cadru de compensare</w:t>
      </w:r>
    </w:p>
    <w:p w14:paraId="42BD662F" w14:textId="36DDDCD7" w:rsidR="00064BD9" w:rsidRPr="002D468A" w:rsidRDefault="00064BD9" w:rsidP="00064BD9">
      <w:pPr>
        <w:shd w:val="clear" w:color="auto" w:fill="FFFFFF"/>
        <w:jc w:val="both"/>
        <w:rPr>
          <w:color w:val="000000" w:themeColor="text1"/>
          <w:lang w:val="ro-RO" w:eastAsia="ro-MD"/>
        </w:rPr>
      </w:pPr>
      <w:r w:rsidRPr="002D468A">
        <w:rPr>
          <w:b/>
          <w:bCs/>
          <w:color w:val="000000" w:themeColor="text1"/>
          <w:lang w:val="ro-RO" w:eastAsia="ro-MD"/>
        </w:rPr>
        <w:t>72</w:t>
      </w:r>
      <w:r w:rsidRPr="002D468A">
        <w:rPr>
          <w:b/>
          <w:bCs/>
          <w:color w:val="000000" w:themeColor="text1"/>
          <w:vertAlign w:val="superscript"/>
          <w:lang w:val="ro-RO" w:eastAsia="ro-MD"/>
        </w:rPr>
        <w:t>1</w:t>
      </w:r>
      <w:r w:rsidRPr="002D468A">
        <w:rPr>
          <w:b/>
          <w:bCs/>
          <w:color w:val="000000" w:themeColor="text1"/>
          <w:lang w:val="ro-RO" w:eastAsia="ro-MD"/>
        </w:rPr>
        <w:t>.</w:t>
      </w:r>
      <w:r w:rsidRPr="002D468A">
        <w:rPr>
          <w:color w:val="000000" w:themeColor="text1"/>
          <w:lang w:val="ro-RO" w:eastAsia="ro-MD"/>
        </w:rPr>
        <w:t xml:space="preserve"> În scopul calculării valorilor ponderate la risc ale expunerilor și a valorilor pierderilor așteptate pentru operațiunile de finanțare prin instrumente financiare sau pentru alte operațiuni ajustate la condițiile pieței de capital, altele decât tranzacțiile cu instrumente financiare derivate acoperite de un acord-cadru de compensare eligibil care îndeplinește cerințele aferente compensării contractuale prevăzute în </w:t>
      </w:r>
      <w:r w:rsidR="0027791D" w:rsidRPr="002D468A">
        <w:rPr>
          <w:color w:val="000000" w:themeColor="text1"/>
          <w:lang w:val="ro-RO" w:eastAsia="ro-MD"/>
        </w:rPr>
        <w:t>Regulamentul nr.220/2025</w:t>
      </w:r>
      <w:r w:rsidRPr="002D468A">
        <w:rPr>
          <w:color w:val="000000" w:themeColor="text1"/>
          <w:lang w:val="ro-RO" w:eastAsia="ro-MD"/>
        </w:rPr>
        <w:t>, o bancă poate calcula valoarea ajustată integral a expunerii (E*) acordului utilizând abordarea bazată pe modele interne, dacă îndeplinește condițiile prevăzute la punctul 72</w:t>
      </w:r>
      <w:r w:rsidRPr="002D468A">
        <w:rPr>
          <w:color w:val="000000" w:themeColor="text1"/>
          <w:vertAlign w:val="superscript"/>
          <w:lang w:val="ro-RO" w:eastAsia="ro-MD"/>
        </w:rPr>
        <w:t>2</w:t>
      </w:r>
      <w:r w:rsidRPr="002D468A">
        <w:rPr>
          <w:color w:val="000000" w:themeColor="text1"/>
          <w:lang w:val="ro-RO" w:eastAsia="ro-MD"/>
        </w:rPr>
        <w:t>.</w:t>
      </w:r>
    </w:p>
    <w:p w14:paraId="7705F4A2" w14:textId="2E091747" w:rsidR="00064BD9" w:rsidRPr="002D468A" w:rsidRDefault="00064BD9" w:rsidP="00064BD9">
      <w:pPr>
        <w:shd w:val="clear" w:color="auto" w:fill="FFFFFF"/>
        <w:jc w:val="both"/>
        <w:rPr>
          <w:color w:val="000000" w:themeColor="text1"/>
          <w:lang w:val="ro-RO" w:eastAsia="ro-MD"/>
        </w:rPr>
      </w:pPr>
      <w:r w:rsidRPr="002D468A">
        <w:rPr>
          <w:b/>
          <w:bCs/>
          <w:color w:val="000000" w:themeColor="text1"/>
          <w:lang w:val="ro-RO" w:eastAsia="ro-MD"/>
        </w:rPr>
        <w:t>72</w:t>
      </w:r>
      <w:r w:rsidRPr="002D468A">
        <w:rPr>
          <w:b/>
          <w:bCs/>
          <w:color w:val="000000" w:themeColor="text1"/>
          <w:vertAlign w:val="superscript"/>
          <w:lang w:val="ro-RO" w:eastAsia="ro-MD"/>
        </w:rPr>
        <w:t>2</w:t>
      </w:r>
      <w:r w:rsidRPr="002D468A">
        <w:rPr>
          <w:b/>
          <w:bCs/>
          <w:color w:val="000000" w:themeColor="text1"/>
          <w:lang w:val="ro-RO" w:eastAsia="ro-MD"/>
        </w:rPr>
        <w:t>.</w:t>
      </w:r>
      <w:r w:rsidR="000742E5">
        <w:rPr>
          <w:b/>
          <w:bCs/>
          <w:color w:val="000000" w:themeColor="text1"/>
          <w:lang w:val="ro-RO" w:eastAsia="ro-MD"/>
        </w:rPr>
        <w:t xml:space="preserve"> </w:t>
      </w:r>
      <w:r w:rsidRPr="002D468A">
        <w:rPr>
          <w:color w:val="000000" w:themeColor="text1"/>
          <w:lang w:val="ro-RO" w:eastAsia="ro-MD"/>
        </w:rPr>
        <w:t>Banca poate utiliza abordarea bazată pe modele interne dacă sunt îndeplinite cumulativ următoarele condiții:</w:t>
      </w:r>
    </w:p>
    <w:p w14:paraId="3A86E9B5" w14:textId="2DCEBC2A" w:rsidR="00064BD9" w:rsidRPr="002D468A" w:rsidRDefault="00064BD9" w:rsidP="00064BD9">
      <w:pPr>
        <w:shd w:val="clear" w:color="auto" w:fill="FFFFFF"/>
        <w:ind w:firstLine="567"/>
        <w:jc w:val="both"/>
        <w:rPr>
          <w:color w:val="000000" w:themeColor="text1"/>
          <w:lang w:val="ro-RO" w:eastAsia="ro-MD"/>
        </w:rPr>
      </w:pPr>
      <w:r w:rsidRPr="002D468A">
        <w:rPr>
          <w:color w:val="000000" w:themeColor="text1"/>
          <w:lang w:val="ro-RO" w:eastAsia="ro-MD"/>
        </w:rPr>
        <w:t>1)</w:t>
      </w:r>
      <w:r w:rsidR="000742E5">
        <w:rPr>
          <w:color w:val="000000" w:themeColor="text1"/>
          <w:lang w:val="ro-RO" w:eastAsia="ro-MD"/>
        </w:rPr>
        <w:t xml:space="preserve"> </w:t>
      </w:r>
      <w:r w:rsidRPr="002D468A">
        <w:rPr>
          <w:color w:val="000000" w:themeColor="text1"/>
          <w:lang w:val="ro-RO" w:eastAsia="ro-MD"/>
        </w:rPr>
        <w:t xml:space="preserve"> banca utilizează această abordare numai pentru expunerile pentru care valorile ponderate la risc ale expunerilor sunt calculate conform abordării IRB prevăzute în actul normativ al Băncii </w:t>
      </w:r>
      <w:r w:rsidRPr="002D468A">
        <w:rPr>
          <w:color w:val="000000" w:themeColor="text1"/>
          <w:lang w:val="ro-RO" w:eastAsia="ro-MD"/>
        </w:rPr>
        <w:lastRenderedPageBreak/>
        <w:t>Naționale a Moldovei aferent tratamentului riscului de credit potrivit abordării bazate pe modele interne de rating;</w:t>
      </w:r>
    </w:p>
    <w:p w14:paraId="64C08C29" w14:textId="42F64797" w:rsidR="00064BD9" w:rsidRPr="002D468A" w:rsidRDefault="00064BD9" w:rsidP="00064BD9">
      <w:pPr>
        <w:shd w:val="clear" w:color="auto" w:fill="FFFFFF"/>
        <w:ind w:firstLine="567"/>
        <w:jc w:val="both"/>
        <w:rPr>
          <w:color w:val="000000" w:themeColor="text1"/>
          <w:lang w:val="ro-RO" w:eastAsia="ro-MD"/>
        </w:rPr>
      </w:pPr>
      <w:r w:rsidRPr="002D468A">
        <w:rPr>
          <w:color w:val="000000" w:themeColor="text1"/>
          <w:lang w:val="ro-RO" w:eastAsia="ro-MD"/>
        </w:rPr>
        <w:t>2) banca primește aprobarea de a utiliza această abordare din partea Băncii Naționale a Moldovei.</w:t>
      </w:r>
    </w:p>
    <w:p w14:paraId="49CDDEB4" w14:textId="5F41F1F7" w:rsidR="00064BD9" w:rsidRPr="002D468A" w:rsidRDefault="00064BD9" w:rsidP="00064BD9">
      <w:pPr>
        <w:shd w:val="clear" w:color="auto" w:fill="FFFFFF"/>
        <w:jc w:val="both"/>
        <w:rPr>
          <w:color w:val="000000" w:themeColor="text1"/>
          <w:lang w:val="ro-RO" w:eastAsia="ro-MD"/>
        </w:rPr>
      </w:pPr>
      <w:r w:rsidRPr="002D468A">
        <w:rPr>
          <w:b/>
          <w:bCs/>
          <w:color w:val="000000" w:themeColor="text1"/>
          <w:lang w:val="ro-RO" w:eastAsia="ro-MD"/>
        </w:rPr>
        <w:t>72</w:t>
      </w:r>
      <w:r w:rsidRPr="002D468A">
        <w:rPr>
          <w:b/>
          <w:bCs/>
          <w:color w:val="000000" w:themeColor="text1"/>
          <w:vertAlign w:val="superscript"/>
          <w:lang w:val="ro-RO" w:eastAsia="ro-MD"/>
        </w:rPr>
        <w:t>3</w:t>
      </w:r>
      <w:r w:rsidRPr="002D468A">
        <w:rPr>
          <w:b/>
          <w:bCs/>
          <w:color w:val="000000" w:themeColor="text1"/>
          <w:lang w:val="ro-RO" w:eastAsia="ro-MD"/>
        </w:rPr>
        <w:t>.</w:t>
      </w:r>
      <w:r w:rsidRPr="002D468A">
        <w:rPr>
          <w:color w:val="000000" w:themeColor="text1"/>
          <w:lang w:val="ro-RO" w:eastAsia="ro-MD"/>
        </w:rPr>
        <w:t xml:space="preserve"> O bancă care utilizează o abordare bazată pe modele interne utilizează această abordare pentru toate </w:t>
      </w:r>
      <w:proofErr w:type="spellStart"/>
      <w:r w:rsidRPr="002D468A">
        <w:rPr>
          <w:color w:val="000000" w:themeColor="text1"/>
          <w:lang w:val="ro-RO" w:eastAsia="ro-MD"/>
        </w:rPr>
        <w:t>contrapărțile</w:t>
      </w:r>
      <w:proofErr w:type="spellEnd"/>
      <w:r w:rsidRPr="002D468A">
        <w:rPr>
          <w:color w:val="000000" w:themeColor="text1"/>
          <w:lang w:val="ro-RO" w:eastAsia="ro-MD"/>
        </w:rPr>
        <w:t xml:space="preserve"> și titlurile de valoare, cu excepția portofoliilor nesemnificative, pentru care poate utiliza abordarea bazată pe ajustări de volatilitate reglementate prevăzută la punctele 68-72.</w:t>
      </w:r>
    </w:p>
    <w:p w14:paraId="79E5891C" w14:textId="77777777" w:rsidR="00064BD9" w:rsidRPr="002D468A" w:rsidRDefault="00064BD9" w:rsidP="00064BD9">
      <w:pPr>
        <w:shd w:val="clear" w:color="auto" w:fill="FFFFFF"/>
        <w:jc w:val="both"/>
        <w:rPr>
          <w:color w:val="000000" w:themeColor="text1"/>
          <w:lang w:val="ro-RO" w:eastAsia="ro-MD"/>
        </w:rPr>
      </w:pPr>
      <w:r w:rsidRPr="002D468A">
        <w:rPr>
          <w:b/>
          <w:bCs/>
          <w:color w:val="000000" w:themeColor="text1"/>
          <w:lang w:val="ro-RO" w:eastAsia="ro-MD"/>
        </w:rPr>
        <w:t>72</w:t>
      </w:r>
      <w:r w:rsidRPr="002D468A">
        <w:rPr>
          <w:b/>
          <w:bCs/>
          <w:color w:val="000000" w:themeColor="text1"/>
          <w:vertAlign w:val="superscript"/>
          <w:lang w:val="ro-RO" w:eastAsia="ro-MD"/>
        </w:rPr>
        <w:t>4</w:t>
      </w:r>
      <w:r w:rsidRPr="002D468A">
        <w:rPr>
          <w:b/>
          <w:bCs/>
          <w:color w:val="000000" w:themeColor="text1"/>
          <w:lang w:val="ro-RO" w:eastAsia="ro-MD"/>
        </w:rPr>
        <w:t>.</w:t>
      </w:r>
      <w:r w:rsidRPr="002D468A">
        <w:rPr>
          <w:color w:val="000000" w:themeColor="text1"/>
          <w:lang w:val="ro-RO" w:eastAsia="ro-MD"/>
        </w:rPr>
        <w:t xml:space="preserve"> Banca Națională a Moldovei permite unei bănci să utilizeze o abordare bazată pe modele interne numai dacă au dovezi satisfăcătoare ale faptului că sistemul folosit de bancă pentru gestionarea riscurilor decurgând din tranzacțiile acoperite de acordul-cadru de compensare este solid din punct de vedere conceptual și aplicat corect și dacă sunt îndeplinite următoarele cerințe calitative:</w:t>
      </w:r>
    </w:p>
    <w:p w14:paraId="75CA02AF" w14:textId="1E5C6EB8" w:rsidR="00064BD9" w:rsidRPr="002D468A" w:rsidRDefault="00064BD9" w:rsidP="00064BD9">
      <w:pPr>
        <w:shd w:val="clear" w:color="auto" w:fill="FFFFFF"/>
        <w:ind w:firstLine="567"/>
        <w:jc w:val="both"/>
        <w:rPr>
          <w:color w:val="000000" w:themeColor="text1"/>
          <w:lang w:val="ro-RO" w:eastAsia="ro-MD"/>
        </w:rPr>
      </w:pPr>
      <w:r w:rsidRPr="002D468A">
        <w:rPr>
          <w:color w:val="000000" w:themeColor="text1"/>
          <w:lang w:val="ro-RO" w:eastAsia="ro-MD"/>
        </w:rPr>
        <w:t>1) modelul intern de măsurare a riscurilor utilizat pentru calcularea volatilității potențiale a prețurilor tranzacțiilor este strâns integrat în procesul zilnic de gestionare a riscurilor și servește drept bază pentru raportarea expunerilor la risc către conducerea superioară a băncii;</w:t>
      </w:r>
    </w:p>
    <w:p w14:paraId="61D5FC2B" w14:textId="77777777" w:rsidR="00064BD9" w:rsidRPr="002D468A" w:rsidRDefault="00064BD9" w:rsidP="00064BD9">
      <w:pPr>
        <w:shd w:val="clear" w:color="auto" w:fill="FFFFFF"/>
        <w:ind w:firstLine="567"/>
        <w:jc w:val="both"/>
        <w:rPr>
          <w:color w:val="000000" w:themeColor="text1"/>
          <w:lang w:val="ro-RO" w:eastAsia="ro-MD"/>
        </w:rPr>
      </w:pPr>
      <w:r w:rsidRPr="002D468A">
        <w:rPr>
          <w:color w:val="000000" w:themeColor="text1"/>
          <w:lang w:val="ro-RO" w:eastAsia="ro-MD"/>
        </w:rPr>
        <w:t>2) banca dispune de o unitate de control al riscurilor care îndeplinește cumulativ următoarele cerințe:</w:t>
      </w:r>
    </w:p>
    <w:p w14:paraId="6937DC8E" w14:textId="77777777" w:rsidR="00064BD9" w:rsidRPr="002D468A" w:rsidRDefault="00064BD9" w:rsidP="00064BD9">
      <w:pPr>
        <w:shd w:val="clear" w:color="auto" w:fill="FFFFFF"/>
        <w:ind w:firstLine="567"/>
        <w:jc w:val="both"/>
        <w:rPr>
          <w:color w:val="000000" w:themeColor="text1"/>
          <w:lang w:val="ro-RO" w:eastAsia="ro-MD"/>
        </w:rPr>
      </w:pPr>
      <w:r w:rsidRPr="002D468A">
        <w:rPr>
          <w:color w:val="000000" w:themeColor="text1"/>
          <w:lang w:val="ro-RO" w:eastAsia="ro-MD"/>
        </w:rPr>
        <w:t>a) este independentă de unitățile care derulează tranzacții și raportează direct conducerii superioare;</w:t>
      </w:r>
    </w:p>
    <w:p w14:paraId="1F1512BF" w14:textId="77777777" w:rsidR="00064BD9" w:rsidRPr="002D468A" w:rsidRDefault="00064BD9" w:rsidP="00064BD9">
      <w:pPr>
        <w:shd w:val="clear" w:color="auto" w:fill="FFFFFF"/>
        <w:ind w:firstLine="567"/>
        <w:jc w:val="both"/>
        <w:rPr>
          <w:color w:val="000000" w:themeColor="text1"/>
          <w:lang w:val="ro-RO" w:eastAsia="ro-MD"/>
        </w:rPr>
      </w:pPr>
      <w:r w:rsidRPr="002D468A">
        <w:rPr>
          <w:color w:val="000000" w:themeColor="text1"/>
          <w:lang w:val="ro-RO" w:eastAsia="ro-MD"/>
        </w:rPr>
        <w:t>b) răspunde de conceperea și implementarea sistemului de gestionare a riscurilor al băncii;</w:t>
      </w:r>
    </w:p>
    <w:p w14:paraId="067CF717" w14:textId="06232533" w:rsidR="00064BD9" w:rsidRPr="002D468A" w:rsidRDefault="00064BD9" w:rsidP="00064BD9">
      <w:pPr>
        <w:shd w:val="clear" w:color="auto" w:fill="FFFFFF"/>
        <w:ind w:firstLine="567"/>
        <w:jc w:val="both"/>
        <w:rPr>
          <w:color w:val="000000" w:themeColor="text1"/>
          <w:lang w:val="ro-RO" w:eastAsia="ro-MD"/>
        </w:rPr>
      </w:pPr>
      <w:r w:rsidRPr="002D468A">
        <w:rPr>
          <w:color w:val="000000" w:themeColor="text1"/>
          <w:lang w:val="ro-RO" w:eastAsia="ro-MD"/>
        </w:rPr>
        <w:t>c) elaborează și analizează rapoarte zilnice cu privire la rezultatele modelului de măsurare a riscurilor și la măsurile adecvate care trebuie luate în privința limitelor pozițiilor;</w:t>
      </w:r>
    </w:p>
    <w:p w14:paraId="031FEEB2" w14:textId="62675836" w:rsidR="00064BD9" w:rsidRPr="002D468A" w:rsidRDefault="00064BD9" w:rsidP="00064BD9">
      <w:pPr>
        <w:shd w:val="clear" w:color="auto" w:fill="FFFFFF"/>
        <w:ind w:firstLine="567"/>
        <w:jc w:val="both"/>
        <w:rPr>
          <w:color w:val="000000" w:themeColor="text1"/>
          <w:lang w:val="ro-RO" w:eastAsia="ro-MD"/>
        </w:rPr>
      </w:pPr>
      <w:r w:rsidRPr="002D468A">
        <w:rPr>
          <w:color w:val="000000" w:themeColor="text1"/>
          <w:lang w:val="ro-RO" w:eastAsia="ro-MD"/>
        </w:rPr>
        <w:t>3) rapoartele zilnice elaborate de unitatea de control al riscurilor sunt analizate de către un nivel al conducerii care are suficientă autoritate pentru a impune reduceri ale pozițiilor luate și ale expunerii globale la risc;</w:t>
      </w:r>
    </w:p>
    <w:p w14:paraId="7B14E51F" w14:textId="26E5A485" w:rsidR="00064BD9" w:rsidRPr="002D468A" w:rsidRDefault="00064BD9" w:rsidP="00064BD9">
      <w:pPr>
        <w:shd w:val="clear" w:color="auto" w:fill="FFFFFF"/>
        <w:ind w:firstLine="567"/>
        <w:jc w:val="both"/>
        <w:rPr>
          <w:color w:val="000000" w:themeColor="text1"/>
          <w:lang w:val="ro-RO" w:eastAsia="ro-MD"/>
        </w:rPr>
      </w:pPr>
      <w:r w:rsidRPr="002D468A">
        <w:rPr>
          <w:color w:val="000000" w:themeColor="text1"/>
          <w:lang w:val="ro-RO" w:eastAsia="ro-MD"/>
        </w:rPr>
        <w:t>4) banca dispune, în cadrul unității de control al riscurilor, de suficient personal competent pentru utilizarea modelelor sofisticate;</w:t>
      </w:r>
    </w:p>
    <w:p w14:paraId="6BA6DAE3" w14:textId="7BEA5217" w:rsidR="00064BD9" w:rsidRPr="002D468A" w:rsidRDefault="00064BD9" w:rsidP="00064BD9">
      <w:pPr>
        <w:shd w:val="clear" w:color="auto" w:fill="FFFFFF"/>
        <w:ind w:firstLine="567"/>
        <w:jc w:val="both"/>
        <w:rPr>
          <w:color w:val="000000" w:themeColor="text1"/>
          <w:lang w:val="ro-RO" w:eastAsia="ro-MD"/>
        </w:rPr>
      </w:pPr>
      <w:r w:rsidRPr="002D468A">
        <w:rPr>
          <w:color w:val="000000" w:themeColor="text1"/>
          <w:lang w:val="ro-RO" w:eastAsia="ro-MD"/>
        </w:rPr>
        <w:t>5) banca a stabilit proceduri pentru monitorizarea și asigurarea respectării unui set formalizat de politici și controale interne privind funcționarea generală a sistemului de măsurare a riscurilor;</w:t>
      </w:r>
    </w:p>
    <w:p w14:paraId="7B281459" w14:textId="061B37F2" w:rsidR="00064BD9" w:rsidRPr="002D468A" w:rsidRDefault="00A3547E" w:rsidP="00064BD9">
      <w:pPr>
        <w:shd w:val="clear" w:color="auto" w:fill="FFFFFF"/>
        <w:ind w:firstLine="567"/>
        <w:jc w:val="both"/>
        <w:rPr>
          <w:color w:val="000000" w:themeColor="text1"/>
          <w:lang w:val="ro-RO" w:eastAsia="ro-MD"/>
        </w:rPr>
      </w:pPr>
      <w:r w:rsidRPr="002D468A">
        <w:rPr>
          <w:color w:val="000000" w:themeColor="text1"/>
          <w:lang w:val="ro-RO" w:eastAsia="ro-MD"/>
        </w:rPr>
        <w:t xml:space="preserve">6) modelele băncii au un istoric care </w:t>
      </w:r>
      <w:r w:rsidR="00064BD9" w:rsidRPr="002D468A">
        <w:rPr>
          <w:color w:val="000000" w:themeColor="text1"/>
          <w:lang w:val="ro-RO" w:eastAsia="ro-MD"/>
        </w:rPr>
        <w:t>arată o acuratețe rezonabilă în măsurarea riscurilor, demonstrată prin testarea ulterioară a rezultatelor acestora, pentru care se utilizează date aferente cel puțin unui an;</w:t>
      </w:r>
    </w:p>
    <w:p w14:paraId="4BA18B19" w14:textId="685B988E" w:rsidR="00064BD9" w:rsidRPr="002D468A" w:rsidRDefault="00064BD9" w:rsidP="00064BD9">
      <w:pPr>
        <w:shd w:val="clear" w:color="auto" w:fill="FFFFFF"/>
        <w:ind w:firstLine="567"/>
        <w:jc w:val="both"/>
        <w:rPr>
          <w:color w:val="000000" w:themeColor="text1"/>
          <w:lang w:val="ro-RO" w:eastAsia="ro-MD"/>
        </w:rPr>
      </w:pPr>
      <w:r w:rsidRPr="002D468A">
        <w:rPr>
          <w:color w:val="000000" w:themeColor="text1"/>
          <w:lang w:val="ro-RO" w:eastAsia="ro-MD"/>
        </w:rPr>
        <w:t>7) banca desfășoară în mod frecvent un program riguros de simulare de criză, iar rezultatele acestor teste sunt examinate de către conducerea superioară și se reflectă în politicile și în limitele pe care aceasta le stabilește;</w:t>
      </w:r>
    </w:p>
    <w:p w14:paraId="0F622629" w14:textId="00182A6D" w:rsidR="00064BD9" w:rsidRPr="002D468A" w:rsidRDefault="00064BD9" w:rsidP="00064BD9">
      <w:pPr>
        <w:shd w:val="clear" w:color="auto" w:fill="FFFFFF"/>
        <w:ind w:firstLine="567"/>
        <w:jc w:val="both"/>
        <w:rPr>
          <w:color w:val="000000" w:themeColor="text1"/>
          <w:lang w:val="ro-RO" w:eastAsia="ro-MD"/>
        </w:rPr>
      </w:pPr>
      <w:r w:rsidRPr="002D468A">
        <w:rPr>
          <w:color w:val="000000" w:themeColor="text1"/>
          <w:lang w:val="ro-RO" w:eastAsia="ro-MD"/>
        </w:rPr>
        <w:t>8) banca efectuează, în cadrul procesului său periodic de audit intern, o reexaminare independentă a sistemului de măsurare a riscurilor. Această reexaminare include atât activitatea unităților care derulează tranzacții, cât și pe cea a unității independente de control al riscurilor;</w:t>
      </w:r>
    </w:p>
    <w:p w14:paraId="435EB1D6" w14:textId="61E4523E" w:rsidR="00064BD9" w:rsidRPr="002D468A" w:rsidRDefault="00064BD9" w:rsidP="00064BD9">
      <w:pPr>
        <w:shd w:val="clear" w:color="auto" w:fill="FFFFFF"/>
        <w:ind w:firstLine="567"/>
        <w:jc w:val="both"/>
        <w:rPr>
          <w:color w:val="000000" w:themeColor="text1"/>
          <w:lang w:val="ro-RO" w:eastAsia="ro-MD"/>
        </w:rPr>
      </w:pPr>
      <w:r w:rsidRPr="002D468A">
        <w:rPr>
          <w:color w:val="000000" w:themeColor="text1"/>
          <w:lang w:val="ro-RO" w:eastAsia="ro-MD"/>
        </w:rPr>
        <w:t>9) banca efectuează o reexaminare a sistemului său de gestionare a riscurilor, cel puțin o dată pe an;</w:t>
      </w:r>
    </w:p>
    <w:p w14:paraId="22D92866" w14:textId="7721026E" w:rsidR="00064BD9" w:rsidRPr="002D468A" w:rsidRDefault="00064BD9" w:rsidP="00064BD9">
      <w:pPr>
        <w:shd w:val="clear" w:color="auto" w:fill="FFFFFF"/>
        <w:ind w:firstLine="567"/>
        <w:jc w:val="both"/>
        <w:rPr>
          <w:color w:val="000000" w:themeColor="text1"/>
          <w:lang w:val="ro-RO" w:eastAsia="ro-MD"/>
        </w:rPr>
      </w:pPr>
      <w:r w:rsidRPr="002D468A">
        <w:rPr>
          <w:color w:val="000000" w:themeColor="text1"/>
          <w:lang w:val="ro-RO" w:eastAsia="ro-MD"/>
        </w:rPr>
        <w:t>10) modelul intern îndeplinește cerințele privind integritatea procesului de modelare și cerințele de validare stabilite în Regulamentul nr.220/2025.</w:t>
      </w:r>
    </w:p>
    <w:p w14:paraId="7FEF99BB" w14:textId="3BCF6554" w:rsidR="00064BD9" w:rsidRPr="002D468A" w:rsidRDefault="00064BD9" w:rsidP="00064BD9">
      <w:pPr>
        <w:shd w:val="clear" w:color="auto" w:fill="FFFFFF"/>
        <w:jc w:val="both"/>
        <w:rPr>
          <w:color w:val="000000" w:themeColor="text1"/>
          <w:lang w:val="ro-RO" w:eastAsia="ro-MD"/>
        </w:rPr>
      </w:pPr>
      <w:r w:rsidRPr="002D468A">
        <w:rPr>
          <w:b/>
          <w:bCs/>
          <w:color w:val="000000" w:themeColor="text1"/>
          <w:lang w:val="ro-RO" w:eastAsia="ro-MD"/>
        </w:rPr>
        <w:t>72</w:t>
      </w:r>
      <w:r w:rsidRPr="002D468A">
        <w:rPr>
          <w:b/>
          <w:bCs/>
          <w:color w:val="000000" w:themeColor="text1"/>
          <w:vertAlign w:val="superscript"/>
          <w:lang w:val="ro-RO" w:eastAsia="ro-MD"/>
        </w:rPr>
        <w:t>5</w:t>
      </w:r>
      <w:r w:rsidRPr="002D468A">
        <w:rPr>
          <w:b/>
          <w:bCs/>
          <w:color w:val="000000" w:themeColor="text1"/>
          <w:lang w:val="ro-RO" w:eastAsia="ro-MD"/>
        </w:rPr>
        <w:t>.</w:t>
      </w:r>
      <w:r w:rsidRPr="002D468A">
        <w:rPr>
          <w:color w:val="000000" w:themeColor="text1"/>
          <w:lang w:val="ro-RO" w:eastAsia="ro-MD"/>
        </w:rPr>
        <w:t xml:space="preserve"> Modelul intern de măsurare a riscurilor al unei bănci trebuie să cuprindă un număr suficient de factori de risc pentru a reflecta toate riscurile de preț semnificative.</w:t>
      </w:r>
    </w:p>
    <w:p w14:paraId="25E9A27B" w14:textId="6ED3255D" w:rsidR="00064BD9" w:rsidRPr="002D468A" w:rsidRDefault="00064BD9" w:rsidP="00064BD9">
      <w:pPr>
        <w:shd w:val="clear" w:color="auto" w:fill="FFFFFF"/>
        <w:spacing w:line="312" w:lineRule="atLeast"/>
        <w:jc w:val="both"/>
        <w:rPr>
          <w:color w:val="000000" w:themeColor="text1"/>
          <w:lang w:val="ro-RO" w:eastAsia="ro-MD"/>
        </w:rPr>
      </w:pPr>
      <w:r w:rsidRPr="002D468A">
        <w:rPr>
          <w:b/>
          <w:bCs/>
          <w:color w:val="000000" w:themeColor="text1"/>
          <w:lang w:val="ro-RO" w:eastAsia="ro-MD"/>
        </w:rPr>
        <w:t>72</w:t>
      </w:r>
      <w:r w:rsidRPr="002D468A">
        <w:rPr>
          <w:b/>
          <w:bCs/>
          <w:color w:val="000000" w:themeColor="text1"/>
          <w:vertAlign w:val="superscript"/>
          <w:lang w:val="ro-RO" w:eastAsia="ro-MD"/>
        </w:rPr>
        <w:t>6</w:t>
      </w:r>
      <w:r w:rsidRPr="002D468A">
        <w:rPr>
          <w:b/>
          <w:bCs/>
          <w:color w:val="000000" w:themeColor="text1"/>
          <w:lang w:val="ro-RO" w:eastAsia="ro-MD"/>
        </w:rPr>
        <w:t>.</w:t>
      </w:r>
      <w:r w:rsidRPr="002D468A">
        <w:rPr>
          <w:color w:val="000000" w:themeColor="text1"/>
          <w:lang w:val="ro-RO" w:eastAsia="ro-MD"/>
        </w:rPr>
        <w:t xml:space="preserve"> Banca poate utiliza corelații empirice în cadrul categoriilor de risc și între categoriile de risc, dacă sistemul său de măsurare a corelațiilor este solid și este aplicat corect.</w:t>
      </w:r>
    </w:p>
    <w:p w14:paraId="0F0B12CA" w14:textId="77777777" w:rsidR="00064BD9" w:rsidRPr="002D468A" w:rsidRDefault="00064BD9" w:rsidP="00064BD9">
      <w:pPr>
        <w:shd w:val="clear" w:color="auto" w:fill="FFFFFF"/>
        <w:jc w:val="both"/>
        <w:rPr>
          <w:color w:val="000000" w:themeColor="text1"/>
          <w:lang w:val="ro-RO" w:eastAsia="ro-MD"/>
        </w:rPr>
      </w:pPr>
      <w:r w:rsidRPr="002D468A">
        <w:rPr>
          <w:b/>
          <w:bCs/>
          <w:color w:val="000000" w:themeColor="text1"/>
          <w:lang w:val="ro-RO" w:eastAsia="ro-MD"/>
        </w:rPr>
        <w:t>72</w:t>
      </w:r>
      <w:r w:rsidRPr="002D468A">
        <w:rPr>
          <w:b/>
          <w:bCs/>
          <w:color w:val="000000" w:themeColor="text1"/>
          <w:vertAlign w:val="superscript"/>
          <w:lang w:val="ro-RO" w:eastAsia="ro-MD"/>
        </w:rPr>
        <w:t>7</w:t>
      </w:r>
      <w:r w:rsidRPr="002D468A">
        <w:rPr>
          <w:b/>
          <w:bCs/>
          <w:color w:val="000000" w:themeColor="text1"/>
          <w:lang w:val="ro-RO" w:eastAsia="ro-MD"/>
        </w:rPr>
        <w:t>.</w:t>
      </w:r>
      <w:r w:rsidRPr="002D468A">
        <w:rPr>
          <w:color w:val="000000" w:themeColor="text1"/>
          <w:lang w:val="ro-RO" w:eastAsia="ro-MD"/>
        </w:rPr>
        <w:t xml:space="preserve"> Băncile care utilizează abordarea bazată pe modele interne calculează E* conform următoarei formule:</w:t>
      </w:r>
    </w:p>
    <w:p w14:paraId="36DC9B83" w14:textId="77777777" w:rsidR="00064BD9" w:rsidRPr="002D468A" w:rsidRDefault="00000000" w:rsidP="00064BD9">
      <w:pPr>
        <w:shd w:val="clear" w:color="auto" w:fill="FFFFFF"/>
        <w:spacing w:before="120" w:line="312" w:lineRule="atLeast"/>
        <w:jc w:val="both"/>
        <w:rPr>
          <w:i/>
          <w:color w:val="000000" w:themeColor="text1"/>
          <w:lang w:val="ro-RO" w:eastAsia="ro-MD"/>
        </w:rPr>
      </w:pPr>
      <m:oMathPara>
        <m:oMath>
          <m:sSup>
            <m:sSupPr>
              <m:ctrlPr>
                <w:rPr>
                  <w:rFonts w:ascii="Cambria Math" w:hAnsi="Cambria Math"/>
                  <w:b/>
                  <w:bCs/>
                  <w:i/>
                  <w:color w:val="000000" w:themeColor="text1"/>
                  <w:lang w:val="ro-RO" w:eastAsia="ro-MD"/>
                </w:rPr>
              </m:ctrlPr>
            </m:sSupPr>
            <m:e>
              <m:r>
                <m:rPr>
                  <m:sty m:val="bi"/>
                </m:rPr>
                <w:rPr>
                  <w:rFonts w:ascii="Cambria Math" w:hAnsi="Cambria Math"/>
                  <w:color w:val="000000" w:themeColor="text1"/>
                  <w:lang w:val="ro-RO" w:eastAsia="ro-MD"/>
                </w:rPr>
                <m:t>E</m:t>
              </m:r>
            </m:e>
            <m:sup>
              <m:r>
                <m:rPr>
                  <m:sty m:val="bi"/>
                </m:rPr>
                <w:rPr>
                  <w:rFonts w:ascii="Cambria Math" w:hAnsi="Cambria Math"/>
                  <w:color w:val="000000" w:themeColor="text1"/>
                  <w:lang w:val="ro-RO" w:eastAsia="ro-MD"/>
                </w:rPr>
                <m:t>*</m:t>
              </m:r>
            </m:sup>
          </m:sSup>
          <m:r>
            <w:rPr>
              <w:rFonts w:ascii="Cambria Math" w:hAnsi="Cambria Math"/>
              <w:color w:val="000000" w:themeColor="text1"/>
              <w:lang w:val="ro-RO" w:eastAsia="ro-MD"/>
            </w:rPr>
            <m:t xml:space="preserve"> = max </m:t>
          </m:r>
          <m:d>
            <m:dPr>
              <m:begChr m:val="{"/>
              <m:endChr m:val="}"/>
              <m:ctrlPr>
                <w:rPr>
                  <w:rFonts w:ascii="Cambria Math" w:hAnsi="Cambria Math"/>
                  <w:i/>
                  <w:color w:val="000000" w:themeColor="text1"/>
                  <w:lang w:val="ro-RO" w:eastAsia="ro-MD"/>
                </w:rPr>
              </m:ctrlPr>
            </m:dPr>
            <m:e>
              <m:r>
                <w:rPr>
                  <w:rFonts w:ascii="Cambria Math" w:hAnsi="Cambria Math"/>
                  <w:color w:val="000000" w:themeColor="text1"/>
                  <w:lang w:val="ro-RO" w:eastAsia="ro-MD"/>
                </w:rPr>
                <m:t>0,</m:t>
              </m:r>
              <m:d>
                <m:dPr>
                  <m:ctrlPr>
                    <w:rPr>
                      <w:rFonts w:ascii="Cambria Math" w:hAnsi="Cambria Math"/>
                      <w:i/>
                      <w:color w:val="000000" w:themeColor="text1"/>
                      <w:lang w:val="ro-RO" w:eastAsia="ro-MD"/>
                    </w:rPr>
                  </m:ctrlPr>
                </m:dPr>
                <m:e>
                  <m:nary>
                    <m:naryPr>
                      <m:chr m:val="∑"/>
                      <m:limLoc m:val="undOvr"/>
                      <m:supHide m:val="1"/>
                      <m:ctrlPr>
                        <w:rPr>
                          <w:rFonts w:ascii="Cambria Math" w:hAnsi="Cambria Math"/>
                          <w:i/>
                          <w:color w:val="000000" w:themeColor="text1"/>
                          <w:lang w:val="ro-RO" w:eastAsia="ro-MD"/>
                        </w:rPr>
                      </m:ctrlPr>
                    </m:naryPr>
                    <m:sub>
                      <m:r>
                        <w:rPr>
                          <w:rFonts w:ascii="Cambria Math" w:hAnsi="Cambria Math"/>
                          <w:color w:val="000000" w:themeColor="text1"/>
                          <w:lang w:val="ro-RO" w:eastAsia="ro-MD"/>
                        </w:rPr>
                        <m:t>i</m:t>
                      </m:r>
                    </m:sub>
                    <m:sup/>
                    <m:e>
                      <m:sSub>
                        <m:sSubPr>
                          <m:ctrlPr>
                            <w:rPr>
                              <w:rFonts w:ascii="Cambria Math" w:hAnsi="Cambria Math"/>
                              <w:i/>
                              <w:color w:val="000000" w:themeColor="text1"/>
                              <w:lang w:val="ro-RO" w:eastAsia="ro-MD"/>
                            </w:rPr>
                          </m:ctrlPr>
                        </m:sSubPr>
                        <m:e>
                          <m:r>
                            <w:rPr>
                              <w:rFonts w:ascii="Cambria Math" w:hAnsi="Cambria Math"/>
                              <w:color w:val="000000" w:themeColor="text1"/>
                              <w:lang w:val="ro-RO" w:eastAsia="ro-MD"/>
                            </w:rPr>
                            <m:t>E</m:t>
                          </m:r>
                        </m:e>
                        <m:sub>
                          <m:r>
                            <w:rPr>
                              <w:rFonts w:ascii="Cambria Math" w:hAnsi="Cambria Math"/>
                              <w:color w:val="000000" w:themeColor="text1"/>
                              <w:lang w:val="ro-RO" w:eastAsia="ro-MD"/>
                            </w:rPr>
                            <m:t>i</m:t>
                          </m:r>
                        </m:sub>
                      </m:sSub>
                    </m:e>
                  </m:nary>
                  <m:r>
                    <w:rPr>
                      <w:rFonts w:ascii="Cambria Math" w:hAnsi="Cambria Math"/>
                      <w:color w:val="000000" w:themeColor="text1"/>
                      <w:lang w:val="ro-RO" w:eastAsia="ro-MD"/>
                    </w:rPr>
                    <m:t>-</m:t>
                  </m:r>
                  <m:nary>
                    <m:naryPr>
                      <m:chr m:val="∑"/>
                      <m:limLoc m:val="undOvr"/>
                      <m:supHide m:val="1"/>
                      <m:ctrlPr>
                        <w:rPr>
                          <w:rFonts w:ascii="Cambria Math" w:hAnsi="Cambria Math"/>
                          <w:i/>
                          <w:color w:val="000000" w:themeColor="text1"/>
                          <w:lang w:val="ro-RO" w:eastAsia="ro-MD"/>
                        </w:rPr>
                      </m:ctrlPr>
                    </m:naryPr>
                    <m:sub>
                      <m:r>
                        <w:rPr>
                          <w:rFonts w:ascii="Cambria Math" w:hAnsi="Cambria Math"/>
                          <w:color w:val="000000" w:themeColor="text1"/>
                          <w:lang w:val="ro-RO" w:eastAsia="ro-MD"/>
                        </w:rPr>
                        <m:t>i</m:t>
                      </m:r>
                    </m:sub>
                    <m:sup/>
                    <m:e>
                      <m:sSub>
                        <m:sSubPr>
                          <m:ctrlPr>
                            <w:rPr>
                              <w:rFonts w:ascii="Cambria Math" w:hAnsi="Cambria Math"/>
                              <w:i/>
                              <w:color w:val="000000" w:themeColor="text1"/>
                              <w:lang w:val="ro-RO" w:eastAsia="ro-MD"/>
                            </w:rPr>
                          </m:ctrlPr>
                        </m:sSubPr>
                        <m:e>
                          <m:r>
                            <w:rPr>
                              <w:rFonts w:ascii="Cambria Math" w:hAnsi="Cambria Math"/>
                              <w:color w:val="000000" w:themeColor="text1"/>
                              <w:lang w:val="ro-RO" w:eastAsia="ro-MD"/>
                            </w:rPr>
                            <m:t>C</m:t>
                          </m:r>
                        </m:e>
                        <m:sub>
                          <m:r>
                            <w:rPr>
                              <w:rFonts w:ascii="Cambria Math" w:hAnsi="Cambria Math"/>
                              <w:color w:val="000000" w:themeColor="text1"/>
                              <w:lang w:val="ro-RO" w:eastAsia="ro-MD"/>
                            </w:rPr>
                            <m:t>i</m:t>
                          </m:r>
                        </m:sub>
                      </m:sSub>
                    </m:e>
                  </m:nary>
                </m:e>
              </m:d>
              <m:r>
                <w:rPr>
                  <w:rFonts w:ascii="Cambria Math" w:hAnsi="Cambria Math"/>
                  <w:color w:val="000000" w:themeColor="text1"/>
                  <w:lang w:val="ro-RO" w:eastAsia="ro-MD"/>
                </w:rPr>
                <m:t>+ variația potențială a valorii</m:t>
              </m:r>
            </m:e>
          </m:d>
          <m:r>
            <w:rPr>
              <w:rFonts w:ascii="Cambria Math" w:hAnsi="Cambria Math"/>
              <w:color w:val="000000" w:themeColor="text1"/>
              <w:lang w:val="ro-RO" w:eastAsia="ro-MD"/>
            </w:rPr>
            <m:t xml:space="preserve"> </m:t>
          </m:r>
        </m:oMath>
      </m:oMathPara>
    </w:p>
    <w:p w14:paraId="4846B90C" w14:textId="77777777" w:rsidR="00064BD9" w:rsidRPr="002D468A" w:rsidRDefault="00064BD9" w:rsidP="00064BD9">
      <w:pPr>
        <w:shd w:val="clear" w:color="auto" w:fill="FFFFFF"/>
        <w:spacing w:before="120" w:line="312" w:lineRule="atLeast"/>
        <w:jc w:val="both"/>
        <w:rPr>
          <w:color w:val="000000" w:themeColor="text1"/>
          <w:lang w:val="ro-RO" w:eastAsia="ro-MD"/>
        </w:rPr>
      </w:pPr>
      <w:r w:rsidRPr="002D468A">
        <w:rPr>
          <w:color w:val="000000" w:themeColor="text1"/>
          <w:lang w:val="ro-RO" w:eastAsia="ro-MD"/>
        </w:rPr>
        <w:t>unde:</w:t>
      </w:r>
    </w:p>
    <w:tbl>
      <w:tblPr>
        <w:tblW w:w="5047" w:type="pct"/>
        <w:tblCellMar>
          <w:left w:w="0" w:type="dxa"/>
          <w:right w:w="0" w:type="dxa"/>
        </w:tblCellMar>
        <w:tblLook w:val="04A0" w:firstRow="1" w:lastRow="0" w:firstColumn="1" w:lastColumn="0" w:noHBand="0" w:noVBand="1"/>
      </w:tblPr>
      <w:tblGrid>
        <w:gridCol w:w="284"/>
        <w:gridCol w:w="6"/>
        <w:gridCol w:w="9490"/>
      </w:tblGrid>
      <w:tr w:rsidR="00064BD9" w:rsidRPr="002D468A" w14:paraId="708EA6E5" w14:textId="77777777" w:rsidTr="000742E5">
        <w:tc>
          <w:tcPr>
            <w:tcW w:w="145" w:type="pct"/>
            <w:hideMark/>
          </w:tcPr>
          <w:p w14:paraId="5C35CDA3" w14:textId="77777777" w:rsidR="00064BD9" w:rsidRPr="002D468A" w:rsidRDefault="00064BD9" w:rsidP="003425C4">
            <w:pPr>
              <w:spacing w:before="120" w:line="312" w:lineRule="atLeast"/>
              <w:jc w:val="both"/>
              <w:rPr>
                <w:color w:val="000000" w:themeColor="text1"/>
                <w:lang w:val="ro-RO" w:eastAsia="ro-MD"/>
              </w:rPr>
            </w:pPr>
            <w:r w:rsidRPr="002D468A">
              <w:rPr>
                <w:color w:val="000000" w:themeColor="text1"/>
                <w:lang w:val="ro-RO" w:eastAsia="ro-MD"/>
              </w:rPr>
              <w:t>E</w:t>
            </w:r>
            <w:r w:rsidRPr="002D468A">
              <w:rPr>
                <w:color w:val="000000" w:themeColor="text1"/>
                <w:vertAlign w:val="subscript"/>
                <w:lang w:val="ro-RO" w:eastAsia="ro-MD"/>
              </w:rPr>
              <w:t>i</w:t>
            </w:r>
          </w:p>
        </w:tc>
        <w:tc>
          <w:tcPr>
            <w:tcW w:w="0" w:type="auto"/>
            <w:hideMark/>
          </w:tcPr>
          <w:p w14:paraId="171EBC9C" w14:textId="77777777" w:rsidR="00064BD9" w:rsidRPr="002D468A" w:rsidRDefault="00064BD9" w:rsidP="003425C4">
            <w:pPr>
              <w:spacing w:before="120" w:line="312" w:lineRule="atLeast"/>
              <w:jc w:val="both"/>
              <w:rPr>
                <w:color w:val="000000" w:themeColor="text1"/>
                <w:lang w:val="ro-RO" w:eastAsia="ro-MD"/>
              </w:rPr>
            </w:pPr>
            <w:r w:rsidRPr="002D468A">
              <w:rPr>
                <w:color w:val="000000" w:themeColor="text1"/>
                <w:lang w:val="ro-RO" w:eastAsia="ro-MD"/>
              </w:rPr>
              <w:t xml:space="preserve"> </w:t>
            </w:r>
          </w:p>
        </w:tc>
        <w:tc>
          <w:tcPr>
            <w:tcW w:w="0" w:type="auto"/>
            <w:hideMark/>
          </w:tcPr>
          <w:p w14:paraId="113670B6" w14:textId="05DFCD33" w:rsidR="00064BD9" w:rsidRPr="002D468A" w:rsidRDefault="00064BD9" w:rsidP="003425C4">
            <w:pPr>
              <w:spacing w:before="120" w:line="312" w:lineRule="atLeast"/>
              <w:jc w:val="both"/>
              <w:rPr>
                <w:color w:val="000000" w:themeColor="text1"/>
                <w:lang w:val="ro-RO" w:eastAsia="ro-MD"/>
              </w:rPr>
            </w:pPr>
            <w:r w:rsidRPr="002D468A">
              <w:rPr>
                <w:color w:val="000000" w:themeColor="text1"/>
                <w:lang w:val="ro-RO" w:eastAsia="ro-MD"/>
              </w:rPr>
              <w:t xml:space="preserve"> = valoarea expunerii pentru fiecare expunere separată i din cadrul acordului, care s-ar aplica în lipsa protecției creditului, în cazul în care băncile calculează valorile ponderate la risc ale expunerilor conform abordării standardizate sau în cazul în care calculează valorile ponderate la risc ale expunerilor și cuantumurile pierderilor așteptate conform abordării IRB;</w:t>
            </w:r>
          </w:p>
        </w:tc>
      </w:tr>
    </w:tbl>
    <w:p w14:paraId="2BA5828C" w14:textId="77777777" w:rsidR="00064BD9" w:rsidRPr="002D468A" w:rsidRDefault="00064BD9" w:rsidP="00064BD9">
      <w:pPr>
        <w:shd w:val="clear" w:color="auto" w:fill="FFFFFF"/>
        <w:jc w:val="both"/>
        <w:rPr>
          <w:vanish/>
          <w:color w:val="000000" w:themeColor="text1"/>
          <w:lang w:val="ro-RO" w:eastAsia="ro-MD"/>
        </w:rPr>
      </w:pPr>
    </w:p>
    <w:tbl>
      <w:tblPr>
        <w:tblW w:w="5000" w:type="pct"/>
        <w:tblCellMar>
          <w:left w:w="0" w:type="dxa"/>
          <w:right w:w="0" w:type="dxa"/>
        </w:tblCellMar>
        <w:tblLook w:val="04A0" w:firstRow="1" w:lastRow="0" w:firstColumn="1" w:lastColumn="0" w:noHBand="0" w:noVBand="1"/>
      </w:tblPr>
      <w:tblGrid>
        <w:gridCol w:w="205"/>
        <w:gridCol w:w="6"/>
        <w:gridCol w:w="9478"/>
      </w:tblGrid>
      <w:tr w:rsidR="000B2CBE" w:rsidRPr="002D468A" w14:paraId="0B81CE93" w14:textId="77777777" w:rsidTr="003425C4">
        <w:tc>
          <w:tcPr>
            <w:tcW w:w="0" w:type="auto"/>
            <w:hideMark/>
          </w:tcPr>
          <w:p w14:paraId="078E094F" w14:textId="77777777" w:rsidR="00064BD9" w:rsidRPr="002D468A" w:rsidRDefault="00064BD9" w:rsidP="003425C4">
            <w:pPr>
              <w:spacing w:before="120" w:line="312" w:lineRule="atLeast"/>
              <w:jc w:val="both"/>
              <w:rPr>
                <w:color w:val="000000" w:themeColor="text1"/>
                <w:lang w:val="ro-RO" w:eastAsia="ro-MD"/>
              </w:rPr>
            </w:pPr>
            <w:r w:rsidRPr="002D468A">
              <w:rPr>
                <w:color w:val="000000" w:themeColor="text1"/>
                <w:lang w:val="ro-RO" w:eastAsia="ro-MD"/>
              </w:rPr>
              <w:t>C</w:t>
            </w:r>
            <w:r w:rsidRPr="002D468A">
              <w:rPr>
                <w:color w:val="000000" w:themeColor="text1"/>
                <w:vertAlign w:val="subscript"/>
                <w:lang w:val="ro-RO" w:eastAsia="ro-MD"/>
              </w:rPr>
              <w:t>i</w:t>
            </w:r>
          </w:p>
        </w:tc>
        <w:tc>
          <w:tcPr>
            <w:tcW w:w="0" w:type="auto"/>
            <w:hideMark/>
          </w:tcPr>
          <w:p w14:paraId="6F07C402" w14:textId="77777777" w:rsidR="00064BD9" w:rsidRPr="002D468A" w:rsidRDefault="00064BD9" w:rsidP="003425C4">
            <w:pPr>
              <w:spacing w:before="120" w:line="312" w:lineRule="atLeast"/>
              <w:jc w:val="both"/>
              <w:rPr>
                <w:color w:val="000000" w:themeColor="text1"/>
                <w:lang w:val="ro-RO" w:eastAsia="ro-MD"/>
              </w:rPr>
            </w:pPr>
            <w:r w:rsidRPr="002D468A">
              <w:rPr>
                <w:color w:val="000000" w:themeColor="text1"/>
                <w:lang w:val="ro-RO" w:eastAsia="ro-MD"/>
              </w:rPr>
              <w:t xml:space="preserve"> </w:t>
            </w:r>
          </w:p>
        </w:tc>
        <w:tc>
          <w:tcPr>
            <w:tcW w:w="0" w:type="auto"/>
            <w:hideMark/>
          </w:tcPr>
          <w:p w14:paraId="17F7764B" w14:textId="2724D493" w:rsidR="00064BD9" w:rsidRPr="002D468A" w:rsidRDefault="00064BD9" w:rsidP="003425C4">
            <w:pPr>
              <w:spacing w:before="120" w:line="312" w:lineRule="atLeast"/>
              <w:jc w:val="both"/>
              <w:rPr>
                <w:color w:val="000000" w:themeColor="text1"/>
                <w:lang w:val="ro-RO" w:eastAsia="ro-MD"/>
              </w:rPr>
            </w:pPr>
            <w:r w:rsidRPr="002D468A">
              <w:rPr>
                <w:color w:val="000000" w:themeColor="text1"/>
                <w:lang w:val="ro-RO" w:eastAsia="ro-MD"/>
              </w:rPr>
              <w:t xml:space="preserve"> = valoarea titlurilor luate cu împrumut, achiziționate sau primite sau numerarul luat cu împrumut sau primit pentru fiecare astfel de expunere i.</w:t>
            </w:r>
          </w:p>
        </w:tc>
      </w:tr>
    </w:tbl>
    <w:p w14:paraId="0DDEA124" w14:textId="1E89A4C4" w:rsidR="00064BD9" w:rsidRPr="002D468A" w:rsidRDefault="00064BD9" w:rsidP="00064BD9">
      <w:pPr>
        <w:shd w:val="clear" w:color="auto" w:fill="FFFFFF"/>
        <w:spacing w:line="312" w:lineRule="atLeast"/>
        <w:jc w:val="both"/>
        <w:rPr>
          <w:color w:val="000000" w:themeColor="text1"/>
          <w:lang w:val="ro-RO" w:eastAsia="ro-MD"/>
        </w:rPr>
      </w:pPr>
      <w:r w:rsidRPr="002D468A">
        <w:rPr>
          <w:b/>
          <w:bCs/>
          <w:color w:val="000000" w:themeColor="text1"/>
          <w:lang w:val="ro-RO" w:eastAsia="ro-MD"/>
        </w:rPr>
        <w:t>72</w:t>
      </w:r>
      <w:r w:rsidRPr="002D468A">
        <w:rPr>
          <w:b/>
          <w:bCs/>
          <w:color w:val="000000" w:themeColor="text1"/>
          <w:vertAlign w:val="superscript"/>
          <w:lang w:val="ro-RO" w:eastAsia="ro-MD"/>
        </w:rPr>
        <w:t>8</w:t>
      </w:r>
      <w:r w:rsidRPr="002D468A">
        <w:rPr>
          <w:b/>
          <w:bCs/>
          <w:color w:val="000000" w:themeColor="text1"/>
          <w:lang w:val="ro-RO" w:eastAsia="ro-MD"/>
        </w:rPr>
        <w:t xml:space="preserve">. </w:t>
      </w:r>
      <w:r w:rsidRPr="002D468A">
        <w:rPr>
          <w:color w:val="000000" w:themeColor="text1"/>
          <w:lang w:val="ro-RO" w:eastAsia="ro-MD"/>
        </w:rPr>
        <w:t>La calculul cuantumurilor ponderate la risc ale expunerilor pe baza modelelor interne, băncile trebuie să utilizeze rezultatul modelului pentru ziua lucrătoare precedentă.</w:t>
      </w:r>
    </w:p>
    <w:p w14:paraId="30D89D59" w14:textId="77777777" w:rsidR="00064BD9" w:rsidRPr="002D468A" w:rsidRDefault="00064BD9" w:rsidP="00064BD9">
      <w:pPr>
        <w:shd w:val="clear" w:color="auto" w:fill="FFFFFF"/>
        <w:jc w:val="both"/>
        <w:rPr>
          <w:color w:val="000000" w:themeColor="text1"/>
          <w:lang w:val="ro-RO" w:eastAsia="ro-MD"/>
        </w:rPr>
      </w:pPr>
      <w:r w:rsidRPr="002D468A">
        <w:rPr>
          <w:b/>
          <w:bCs/>
          <w:color w:val="000000" w:themeColor="text1"/>
          <w:lang w:val="ro-RO" w:eastAsia="ro-MD"/>
        </w:rPr>
        <w:t>72</w:t>
      </w:r>
      <w:r w:rsidRPr="002D468A">
        <w:rPr>
          <w:b/>
          <w:bCs/>
          <w:color w:val="000000" w:themeColor="text1"/>
          <w:vertAlign w:val="superscript"/>
          <w:lang w:val="ro-RO" w:eastAsia="ro-MD"/>
        </w:rPr>
        <w:t>9</w:t>
      </w:r>
      <w:r w:rsidRPr="002D468A">
        <w:rPr>
          <w:b/>
          <w:bCs/>
          <w:color w:val="000000" w:themeColor="text1"/>
          <w:lang w:val="ro-RO" w:eastAsia="ro-MD"/>
        </w:rPr>
        <w:t xml:space="preserve">. </w:t>
      </w:r>
      <w:r w:rsidRPr="002D468A">
        <w:rPr>
          <w:color w:val="000000" w:themeColor="text1"/>
          <w:lang w:val="ro-RO" w:eastAsia="ro-MD"/>
        </w:rPr>
        <w:t>Calculul variației potențiale a valorii menționată la punctul 72</w:t>
      </w:r>
      <w:r w:rsidRPr="002D468A">
        <w:rPr>
          <w:color w:val="000000" w:themeColor="text1"/>
          <w:vertAlign w:val="superscript"/>
          <w:lang w:val="ro-RO" w:eastAsia="ro-MD"/>
        </w:rPr>
        <w:t>7</w:t>
      </w:r>
      <w:r w:rsidRPr="002D468A">
        <w:rPr>
          <w:color w:val="000000" w:themeColor="text1"/>
          <w:lang w:val="ro-RO" w:eastAsia="ro-MD"/>
        </w:rPr>
        <w:t xml:space="preserve"> trebuie să îndeplinească toate cerințele următoare:</w:t>
      </w:r>
    </w:p>
    <w:p w14:paraId="01192CD0" w14:textId="25363B1A" w:rsidR="00064BD9" w:rsidRPr="002D468A" w:rsidRDefault="00064BD9" w:rsidP="00064BD9">
      <w:pPr>
        <w:shd w:val="clear" w:color="auto" w:fill="FFFFFF"/>
        <w:ind w:firstLine="567"/>
        <w:jc w:val="both"/>
        <w:rPr>
          <w:color w:val="000000" w:themeColor="text1"/>
          <w:lang w:val="ro-RO" w:eastAsia="ro-MD"/>
        </w:rPr>
      </w:pPr>
      <w:r w:rsidRPr="002D468A">
        <w:rPr>
          <w:color w:val="000000" w:themeColor="text1"/>
          <w:lang w:val="ro-RO" w:eastAsia="ro-MD"/>
        </w:rPr>
        <w:t>1) să fie efectuat cel puțin zilnic;</w:t>
      </w:r>
    </w:p>
    <w:p w14:paraId="3DD8D3FF" w14:textId="78CD6C2D" w:rsidR="00064BD9" w:rsidRPr="002D468A" w:rsidRDefault="00064BD9" w:rsidP="00064BD9">
      <w:pPr>
        <w:shd w:val="clear" w:color="auto" w:fill="FFFFFF"/>
        <w:ind w:firstLine="567"/>
        <w:jc w:val="both"/>
        <w:rPr>
          <w:color w:val="000000" w:themeColor="text1"/>
          <w:lang w:val="ro-RO" w:eastAsia="ro-MD"/>
        </w:rPr>
      </w:pPr>
      <w:r w:rsidRPr="002D468A">
        <w:rPr>
          <w:color w:val="000000" w:themeColor="text1"/>
          <w:lang w:val="ro-RO" w:eastAsia="ro-MD"/>
        </w:rPr>
        <w:t xml:space="preserve">2) să se bazeze pe un interval de încredere unilateral pe </w:t>
      </w:r>
      <w:proofErr w:type="spellStart"/>
      <w:r w:rsidRPr="002D468A">
        <w:rPr>
          <w:color w:val="000000" w:themeColor="text1"/>
          <w:lang w:val="ro-RO" w:eastAsia="ro-MD"/>
        </w:rPr>
        <w:t>percentila</w:t>
      </w:r>
      <w:proofErr w:type="spellEnd"/>
      <w:r w:rsidRPr="002D468A">
        <w:rPr>
          <w:color w:val="000000" w:themeColor="text1"/>
          <w:lang w:val="ro-RO" w:eastAsia="ro-MD"/>
        </w:rPr>
        <w:t xml:space="preserve"> 99;</w:t>
      </w:r>
    </w:p>
    <w:p w14:paraId="4249AC76" w14:textId="1E5CC89A" w:rsidR="00064BD9" w:rsidRPr="002D468A" w:rsidRDefault="00064BD9" w:rsidP="00064BD9">
      <w:pPr>
        <w:shd w:val="clear" w:color="auto" w:fill="FFFFFF"/>
        <w:ind w:firstLine="567"/>
        <w:jc w:val="both"/>
        <w:rPr>
          <w:color w:val="000000" w:themeColor="text1"/>
          <w:lang w:val="ro-RO" w:eastAsia="ro-MD"/>
        </w:rPr>
      </w:pPr>
      <w:r w:rsidRPr="002D468A">
        <w:rPr>
          <w:color w:val="000000" w:themeColor="text1"/>
          <w:lang w:val="ro-RO" w:eastAsia="ro-MD"/>
        </w:rPr>
        <w:t>3) să se bazeze pe o perioadă de deținere echivalentă cu 5 zile, cu excepția cazului altor tranzacții decât tranzacțiile de răscumpărare de titluri, sau operațiunile de dare sau luare de titluri cu împrumut, pentru care trebuie utilizată o perioadă de deținere echivalentă cu 10 zile;</w:t>
      </w:r>
    </w:p>
    <w:p w14:paraId="1F6A1378" w14:textId="75CFC084" w:rsidR="00064BD9" w:rsidRPr="002D468A" w:rsidRDefault="00890541" w:rsidP="00064BD9">
      <w:pPr>
        <w:shd w:val="clear" w:color="auto" w:fill="FFFFFF"/>
        <w:ind w:firstLine="567"/>
        <w:jc w:val="both"/>
        <w:rPr>
          <w:color w:val="000000" w:themeColor="text1"/>
          <w:lang w:val="ro-RO" w:eastAsia="ro-MD"/>
        </w:rPr>
      </w:pPr>
      <w:r w:rsidRPr="002D468A">
        <w:rPr>
          <w:color w:val="000000" w:themeColor="text1"/>
          <w:lang w:val="ro-RO" w:eastAsia="ro-MD"/>
        </w:rPr>
        <w:t>4</w:t>
      </w:r>
      <w:r w:rsidR="00064BD9" w:rsidRPr="002D468A">
        <w:rPr>
          <w:color w:val="000000" w:themeColor="text1"/>
          <w:lang w:val="ro-RO" w:eastAsia="ro-MD"/>
        </w:rPr>
        <w:t>) să se bazeze pe o perioadă de observare istorică efectivă de cel puțin un an, cu excepția cazului în care o creștere semnificativă a volatilității prețurilor justifică o perioadă de observare mai scurtă;</w:t>
      </w:r>
    </w:p>
    <w:p w14:paraId="4379ABF3" w14:textId="5B4BDC54" w:rsidR="00064BD9" w:rsidRPr="002D468A" w:rsidRDefault="00064BD9" w:rsidP="00890541">
      <w:pPr>
        <w:shd w:val="clear" w:color="auto" w:fill="FFFFFF"/>
        <w:ind w:firstLine="567"/>
        <w:jc w:val="both"/>
        <w:rPr>
          <w:color w:val="000000" w:themeColor="text1"/>
          <w:lang w:val="ro-RO" w:eastAsia="ro-MD"/>
        </w:rPr>
      </w:pPr>
      <w:r w:rsidRPr="002D468A">
        <w:rPr>
          <w:color w:val="000000" w:themeColor="text1"/>
          <w:lang w:val="ro-RO" w:eastAsia="ro-MD"/>
        </w:rPr>
        <w:t>5) setul de date utilizat pentru calcul să fie actualizat la fiecare trei luni.</w:t>
      </w:r>
    </w:p>
    <w:p w14:paraId="2DC65C73" w14:textId="69341F66" w:rsidR="00064BD9" w:rsidRPr="002D468A" w:rsidRDefault="00064BD9" w:rsidP="00064BD9">
      <w:pPr>
        <w:shd w:val="clear" w:color="auto" w:fill="FFFFFF"/>
        <w:spacing w:line="312" w:lineRule="atLeast"/>
        <w:jc w:val="both"/>
        <w:rPr>
          <w:color w:val="000000" w:themeColor="text1"/>
          <w:sz w:val="18"/>
          <w:szCs w:val="18"/>
          <w:lang w:val="ro-RO" w:eastAsia="ro-MD"/>
        </w:rPr>
      </w:pPr>
      <w:r w:rsidRPr="002D468A">
        <w:rPr>
          <w:b/>
          <w:bCs/>
          <w:color w:val="000000" w:themeColor="text1"/>
          <w:lang w:val="ro-RO" w:eastAsia="ro-MD"/>
        </w:rPr>
        <w:t>72</w:t>
      </w:r>
      <w:r w:rsidRPr="002D468A">
        <w:rPr>
          <w:b/>
          <w:bCs/>
          <w:color w:val="000000" w:themeColor="text1"/>
          <w:vertAlign w:val="superscript"/>
          <w:lang w:val="ro-RO" w:eastAsia="ro-MD"/>
        </w:rPr>
        <w:t>10</w:t>
      </w:r>
      <w:r w:rsidRPr="002D468A">
        <w:rPr>
          <w:b/>
          <w:bCs/>
          <w:color w:val="000000" w:themeColor="text1"/>
          <w:lang w:val="ro-RO" w:eastAsia="ro-MD"/>
        </w:rPr>
        <w:t xml:space="preserve">. </w:t>
      </w:r>
      <w:r w:rsidR="00DA7911" w:rsidRPr="002D468A">
        <w:rPr>
          <w:color w:val="000000" w:themeColor="text1"/>
          <w:lang w:val="ro-RO" w:eastAsia="ro-MD"/>
        </w:rPr>
        <w:t xml:space="preserve">Dacă banca are o tranzacție de răscumpărare, o operațiune de dare sau luare de titluri sau mărfuri cu împrumut sau o tranzacție de creditare în marjă, ori altă tranzacție ori set de compensare similare, care îndeplinesc criteriile aferente valorii expunerii pentru seturile de compensare care fac obiectul unui contract în marjă stabilite în </w:t>
      </w:r>
      <w:r w:rsidR="0027791D" w:rsidRPr="002D468A">
        <w:rPr>
          <w:color w:val="000000" w:themeColor="text1"/>
          <w:lang w:val="ro-RO" w:eastAsia="ro-MD"/>
        </w:rPr>
        <w:t>Regulamentul nr.220/2025</w:t>
      </w:r>
      <w:r w:rsidR="00DA7911" w:rsidRPr="002D468A">
        <w:rPr>
          <w:color w:val="000000" w:themeColor="text1"/>
          <w:lang w:val="ro-RO" w:eastAsia="ro-MD"/>
        </w:rPr>
        <w:t xml:space="preserve">, perioada minimă de deținere trebuie să fie aliniată cu perioada de risc de marjă care s-ar aplica în conformitate cu regulamentul menționat, în coroborare cu prevederile aferente reconstituirii marjei cu o periodicitate </w:t>
      </w:r>
      <w:r w:rsidR="00A438BF" w:rsidRPr="002D468A">
        <w:rPr>
          <w:color w:val="000000" w:themeColor="text1"/>
          <w:lang w:val="ro-RO" w:eastAsia="ro-MD"/>
        </w:rPr>
        <w:t>d</w:t>
      </w:r>
      <w:r w:rsidR="00DA7911" w:rsidRPr="002D468A">
        <w:rPr>
          <w:color w:val="000000" w:themeColor="text1"/>
          <w:lang w:val="ro-RO" w:eastAsia="ro-MD"/>
        </w:rPr>
        <w:t>e N zile</w:t>
      </w:r>
      <w:r w:rsidRPr="002D468A">
        <w:rPr>
          <w:color w:val="000000" w:themeColor="text1"/>
          <w:lang w:val="ro-RO" w:eastAsia="ro-MD"/>
        </w:rPr>
        <w:t>.</w:t>
      </w:r>
    </w:p>
    <w:p w14:paraId="3C886E8F" w14:textId="3A3DA20D" w:rsidR="007B7B46" w:rsidRPr="002D468A" w:rsidRDefault="00064BD9" w:rsidP="00064BD9">
      <w:pPr>
        <w:shd w:val="clear" w:color="auto" w:fill="FFFFFF"/>
        <w:jc w:val="both"/>
        <w:rPr>
          <w:color w:val="000000" w:themeColor="text1"/>
          <w:lang w:val="ro-RO"/>
        </w:rPr>
      </w:pPr>
      <w:r w:rsidRPr="002D468A">
        <w:rPr>
          <w:b/>
          <w:bCs/>
          <w:color w:val="000000" w:themeColor="text1"/>
          <w:lang w:val="ro-RO" w:eastAsia="ro-MD"/>
        </w:rPr>
        <w:t>72</w:t>
      </w:r>
      <w:r w:rsidRPr="002D468A">
        <w:rPr>
          <w:b/>
          <w:bCs/>
          <w:color w:val="000000" w:themeColor="text1"/>
          <w:vertAlign w:val="superscript"/>
          <w:lang w:val="ro-RO" w:eastAsia="ro-MD"/>
        </w:rPr>
        <w:t>1</w:t>
      </w:r>
      <w:r w:rsidR="00BD392A" w:rsidRPr="002D468A">
        <w:rPr>
          <w:b/>
          <w:bCs/>
          <w:color w:val="000000" w:themeColor="text1"/>
          <w:vertAlign w:val="superscript"/>
          <w:lang w:val="ro-RO" w:eastAsia="ro-MD"/>
        </w:rPr>
        <w:t>1</w:t>
      </w:r>
      <w:r w:rsidRPr="002D468A">
        <w:rPr>
          <w:b/>
          <w:bCs/>
          <w:color w:val="000000" w:themeColor="text1"/>
          <w:lang w:val="ro-RO" w:eastAsia="ro-MD"/>
        </w:rPr>
        <w:t xml:space="preserve">. </w:t>
      </w:r>
      <w:r w:rsidRPr="002D468A">
        <w:rPr>
          <w:color w:val="000000" w:themeColor="text1"/>
          <w:lang w:val="ro-RO" w:eastAsia="ro-MD"/>
        </w:rPr>
        <w:t>Pentru obținerea aprobării menționate la punctul 72</w:t>
      </w:r>
      <w:r w:rsidRPr="002D468A">
        <w:rPr>
          <w:color w:val="000000" w:themeColor="text1"/>
          <w:vertAlign w:val="superscript"/>
          <w:lang w:val="ro-RO" w:eastAsia="ro-MD"/>
        </w:rPr>
        <w:t>4</w:t>
      </w:r>
      <w:r w:rsidRPr="002D468A">
        <w:rPr>
          <w:color w:val="000000" w:themeColor="text1"/>
          <w:lang w:val="ro-RO" w:eastAsia="ro-MD"/>
        </w:rPr>
        <w:t xml:space="preserve"> banca va adresa Băncii Naționale a Moldovei în scris o solicitare în acest sens, cu anexarea informației/documentației pertinente din care să rezulte îndeplinirea condițiilor de la punctul respectiv.</w:t>
      </w:r>
      <w:r w:rsidR="007B7B46" w:rsidRPr="002D468A">
        <w:rPr>
          <w:color w:val="000000" w:themeColor="text1"/>
          <w:lang w:val="ro-RO"/>
        </w:rPr>
        <w:t>”.</w:t>
      </w:r>
    </w:p>
    <w:p w14:paraId="71F3D0C7" w14:textId="3E19817D" w:rsidR="00F7502D" w:rsidRPr="002D468A" w:rsidRDefault="007A010E" w:rsidP="00423178">
      <w:pPr>
        <w:pStyle w:val="ListParagraph"/>
        <w:numPr>
          <w:ilvl w:val="1"/>
          <w:numId w:val="27"/>
        </w:numPr>
        <w:tabs>
          <w:tab w:val="left" w:pos="567"/>
        </w:tabs>
        <w:spacing w:before="80"/>
        <w:ind w:left="0" w:firstLine="567"/>
        <w:contextualSpacing w:val="0"/>
        <w:jc w:val="both"/>
        <w:rPr>
          <w:color w:val="000000" w:themeColor="text1"/>
          <w:lang w:val="ro-MD"/>
        </w:rPr>
      </w:pPr>
      <w:r w:rsidRPr="002D468A">
        <w:rPr>
          <w:color w:val="000000" w:themeColor="text1"/>
          <w:lang w:val="ro-MD"/>
        </w:rPr>
        <w:t>Punctul 73 se completează cu textul „</w:t>
      </w:r>
      <w:r w:rsidRPr="002D468A">
        <w:rPr>
          <w:color w:val="000000" w:themeColor="text1"/>
          <w:lang w:val="ro-RO" w:eastAsia="ro-MD"/>
        </w:rPr>
        <w:t>Băncile pot utiliza metoda simplă a garanțiilor financiare numai în cazul în care calculează valorile ponderate la risc ale expunerilor conform abordării standardizate.”.</w:t>
      </w:r>
    </w:p>
    <w:p w14:paraId="403D0A1C" w14:textId="2F3CBF18" w:rsidR="00423178" w:rsidRPr="002D468A" w:rsidRDefault="001B4B40" w:rsidP="00423178">
      <w:pPr>
        <w:pStyle w:val="ListParagraph"/>
        <w:numPr>
          <w:ilvl w:val="1"/>
          <w:numId w:val="27"/>
        </w:numPr>
        <w:tabs>
          <w:tab w:val="left" w:pos="567"/>
        </w:tabs>
        <w:spacing w:before="80"/>
        <w:ind w:left="0" w:firstLine="567"/>
        <w:contextualSpacing w:val="0"/>
        <w:jc w:val="both"/>
        <w:rPr>
          <w:color w:val="000000" w:themeColor="text1"/>
          <w:lang w:val="ro-MD"/>
        </w:rPr>
      </w:pPr>
      <w:r w:rsidRPr="002D468A">
        <w:rPr>
          <w:color w:val="000000" w:themeColor="text1"/>
          <w:lang w:val="ro-RO" w:eastAsia="ro-MD"/>
        </w:rPr>
        <w:t>Punctul 74 va avea următorul cuprins:</w:t>
      </w:r>
    </w:p>
    <w:p w14:paraId="4FB17828" w14:textId="59BA3675" w:rsidR="001B4B40" w:rsidRPr="002D468A" w:rsidRDefault="001B4B40" w:rsidP="00C63E10">
      <w:pPr>
        <w:tabs>
          <w:tab w:val="left" w:pos="567"/>
        </w:tabs>
        <w:jc w:val="both"/>
        <w:rPr>
          <w:color w:val="000000" w:themeColor="text1"/>
          <w:lang w:val="ro-MD"/>
        </w:rPr>
      </w:pPr>
      <w:r w:rsidRPr="002D468A">
        <w:rPr>
          <w:color w:val="000000" w:themeColor="text1"/>
          <w:lang w:val="ro-MD"/>
        </w:rPr>
        <w:t>„</w:t>
      </w:r>
      <w:r w:rsidR="00C63E10" w:rsidRPr="002D468A">
        <w:rPr>
          <w:b/>
          <w:bCs/>
          <w:color w:val="000000" w:themeColor="text1"/>
          <w:lang w:val="ro-RO" w:eastAsia="ro-MD"/>
        </w:rPr>
        <w:t>74.</w:t>
      </w:r>
      <w:r w:rsidR="00C63E10" w:rsidRPr="002D468A">
        <w:rPr>
          <w:color w:val="000000" w:themeColor="text1"/>
          <w:lang w:val="ro-RO" w:eastAsia="ro-MD"/>
        </w:rPr>
        <w:t xml:space="preserve"> Băncile nu trebuie să utilizeze atât metoda simplă a garanțiilor financiare cât și metoda extinsă a garanțiilor financiare, decât pentru scopurile implementării abordării IRB pentru diferite clase de expuneri și unități operaționale și ale condițiilor de utilizare parțială permanentă conform actelor normative ale Băncii Naționale a Moldovei aferente abordării bazate pe modele interne de rating. Băncile nu trebuie să utilizeze această excepție în mod selectiv, pentru a reduce cerințele de fonduri proprii sau pentru a efectua un arbitraj de reglementare.”.</w:t>
      </w:r>
    </w:p>
    <w:p w14:paraId="6D2A125B" w14:textId="4F091644" w:rsidR="00BC51B5" w:rsidRPr="002D468A" w:rsidRDefault="00C63E10" w:rsidP="00F7502D">
      <w:pPr>
        <w:pStyle w:val="ListParagraph"/>
        <w:numPr>
          <w:ilvl w:val="1"/>
          <w:numId w:val="27"/>
        </w:numPr>
        <w:tabs>
          <w:tab w:val="left" w:pos="567"/>
        </w:tabs>
        <w:spacing w:before="80"/>
        <w:ind w:left="0" w:firstLine="567"/>
        <w:contextualSpacing w:val="0"/>
        <w:jc w:val="both"/>
        <w:rPr>
          <w:color w:val="000000" w:themeColor="text1"/>
          <w:lang w:val="ro-MD"/>
        </w:rPr>
      </w:pPr>
      <w:r w:rsidRPr="002D468A">
        <w:rPr>
          <w:color w:val="000000" w:themeColor="text1"/>
          <w:lang w:val="ro-MD"/>
        </w:rPr>
        <w:lastRenderedPageBreak/>
        <w:t xml:space="preserve">La punctul 80, </w:t>
      </w:r>
      <w:r w:rsidR="003B441E" w:rsidRPr="002D468A">
        <w:rPr>
          <w:color w:val="000000" w:themeColor="text1"/>
          <w:lang w:val="ro-MD"/>
        </w:rPr>
        <w:t xml:space="preserve">după </w:t>
      </w:r>
      <w:r w:rsidRPr="002D468A">
        <w:rPr>
          <w:color w:val="000000" w:themeColor="text1"/>
          <w:lang w:val="ro-MD"/>
        </w:rPr>
        <w:t xml:space="preserve">cuvintele „valorilor expunerilor” se completează cu textul „ , </w:t>
      </w:r>
      <w:r w:rsidRPr="002D468A">
        <w:rPr>
          <w:color w:val="000000" w:themeColor="text1"/>
          <w:lang w:val="ro-RO" w:eastAsia="ro-MD"/>
        </w:rPr>
        <w:t xml:space="preserve">determinate în temeiul </w:t>
      </w:r>
      <w:r w:rsidR="00E83CC9">
        <w:rPr>
          <w:color w:val="000000" w:themeColor="text1"/>
          <w:lang w:val="ro-RO" w:eastAsia="ro-MD"/>
        </w:rPr>
        <w:t>Regulamentului nr.220/2025</w:t>
      </w:r>
      <w:r w:rsidRPr="002D468A">
        <w:rPr>
          <w:color w:val="000000" w:themeColor="text1"/>
          <w:lang w:val="ro-RO" w:eastAsia="ro-MD"/>
        </w:rPr>
        <w:t xml:space="preserve">,”, iar </w:t>
      </w:r>
      <w:r w:rsidR="006640CA" w:rsidRPr="002D468A">
        <w:rPr>
          <w:color w:val="000000" w:themeColor="text1"/>
          <w:lang w:val="ro-RO" w:eastAsia="ro-MD"/>
        </w:rPr>
        <w:t xml:space="preserve">cuvintele </w:t>
      </w:r>
      <w:r w:rsidRPr="002D468A">
        <w:rPr>
          <w:color w:val="000000" w:themeColor="text1"/>
          <w:lang w:val="ro-RO" w:eastAsia="ro-MD"/>
        </w:rPr>
        <w:t>„instrumentele financiare derivate” s</w:t>
      </w:r>
      <w:r w:rsidR="00CE5E42" w:rsidRPr="002D468A">
        <w:rPr>
          <w:color w:val="000000" w:themeColor="text1"/>
          <w:lang w:val="ro-MD"/>
        </w:rPr>
        <w:t xml:space="preserve">e completează cu </w:t>
      </w:r>
      <w:r w:rsidRPr="002D468A">
        <w:rPr>
          <w:color w:val="000000" w:themeColor="text1"/>
          <w:lang w:val="ro-MD"/>
        </w:rPr>
        <w:t>textul „enumerate în anexa nr.1 la Regulamentul nr.114/2018 și”.</w:t>
      </w:r>
    </w:p>
    <w:p w14:paraId="77F1D9A5" w14:textId="79A48FF7" w:rsidR="008A5EC9" w:rsidRPr="002D468A" w:rsidRDefault="00C63E10" w:rsidP="00F7502D">
      <w:pPr>
        <w:pStyle w:val="ListParagraph"/>
        <w:numPr>
          <w:ilvl w:val="1"/>
          <w:numId w:val="27"/>
        </w:numPr>
        <w:tabs>
          <w:tab w:val="left" w:pos="567"/>
        </w:tabs>
        <w:spacing w:before="80"/>
        <w:ind w:left="0" w:firstLine="567"/>
        <w:contextualSpacing w:val="0"/>
        <w:jc w:val="both"/>
        <w:rPr>
          <w:color w:val="000000" w:themeColor="text1"/>
          <w:lang w:val="ro-MD"/>
        </w:rPr>
      </w:pPr>
      <w:r w:rsidRPr="002D468A">
        <w:rPr>
          <w:color w:val="000000" w:themeColor="text1"/>
          <w:lang w:val="ro-MD"/>
        </w:rPr>
        <w:t>Punctul 83 se completează cu subpunctul 4) cu următorul cuprins:</w:t>
      </w:r>
    </w:p>
    <w:p w14:paraId="17339BFE" w14:textId="40294349" w:rsidR="00C63E10" w:rsidRPr="002D468A" w:rsidRDefault="00C63E10" w:rsidP="00C63E10">
      <w:pPr>
        <w:tabs>
          <w:tab w:val="left" w:pos="567"/>
        </w:tabs>
        <w:jc w:val="both"/>
        <w:rPr>
          <w:color w:val="000000" w:themeColor="text1"/>
          <w:lang w:val="ro-MD"/>
        </w:rPr>
      </w:pPr>
      <w:r w:rsidRPr="002D468A">
        <w:rPr>
          <w:color w:val="000000" w:themeColor="text1"/>
          <w:lang w:val="ro-MD"/>
        </w:rPr>
        <w:t>„</w:t>
      </w:r>
      <w:r w:rsidRPr="002D468A">
        <w:rPr>
          <w:color w:val="000000" w:themeColor="text1"/>
          <w:lang w:val="ro-RO" w:eastAsia="ro-MD"/>
        </w:rPr>
        <w:t>4) titluri de datorie emise de administrațiile regionale sau de autoritățile locale, dacă expunerile față de acestea se tratează ca expuneri față de administrația centrală în a cărei jurisdicție sunt stabilite, în conformitate cu Regulamentul nr.111/2018.”.</w:t>
      </w:r>
    </w:p>
    <w:p w14:paraId="7F9506CB" w14:textId="1EEC3468" w:rsidR="00C63E10" w:rsidRPr="002D468A" w:rsidRDefault="006952B7" w:rsidP="00F7502D">
      <w:pPr>
        <w:pStyle w:val="ListParagraph"/>
        <w:numPr>
          <w:ilvl w:val="1"/>
          <w:numId w:val="27"/>
        </w:numPr>
        <w:tabs>
          <w:tab w:val="left" w:pos="567"/>
        </w:tabs>
        <w:spacing w:before="80"/>
        <w:ind w:left="0" w:firstLine="567"/>
        <w:contextualSpacing w:val="0"/>
        <w:jc w:val="both"/>
        <w:rPr>
          <w:color w:val="000000" w:themeColor="text1"/>
          <w:lang w:val="ro-MD"/>
        </w:rPr>
      </w:pPr>
      <w:r w:rsidRPr="002D468A">
        <w:rPr>
          <w:color w:val="000000" w:themeColor="text1"/>
          <w:lang w:val="ro-MD"/>
        </w:rPr>
        <w:t>P</w:t>
      </w:r>
      <w:r w:rsidR="00C63E10" w:rsidRPr="002D468A">
        <w:rPr>
          <w:color w:val="000000" w:themeColor="text1"/>
          <w:lang w:val="ro-MD"/>
        </w:rPr>
        <w:t>unctul 86</w:t>
      </w:r>
      <w:r w:rsidRPr="002D468A">
        <w:rPr>
          <w:color w:val="000000" w:themeColor="text1"/>
          <w:lang w:val="ro-MD"/>
        </w:rPr>
        <w:t>,</w:t>
      </w:r>
      <w:r w:rsidR="00C63E10" w:rsidRPr="002D468A">
        <w:rPr>
          <w:color w:val="000000" w:themeColor="text1"/>
          <w:lang w:val="ro-MD"/>
        </w:rPr>
        <w:t xml:space="preserve"> </w:t>
      </w:r>
      <w:r w:rsidR="003B441E" w:rsidRPr="002D468A">
        <w:rPr>
          <w:color w:val="000000" w:themeColor="text1"/>
          <w:lang w:val="ro-MD"/>
        </w:rPr>
        <w:t>după cuvintele „</w:t>
      </w:r>
      <w:r w:rsidR="003B441E" w:rsidRPr="002D468A">
        <w:rPr>
          <w:color w:val="000000" w:themeColor="text1"/>
          <w:lang w:val="ro-RO" w:eastAsia="ro-MD"/>
        </w:rPr>
        <w:t>acorduri de compensare” se c</w:t>
      </w:r>
      <w:r w:rsidR="00282939" w:rsidRPr="002D468A">
        <w:rPr>
          <w:color w:val="000000" w:themeColor="text1"/>
          <w:lang w:val="ro-RO" w:eastAsia="ro-MD"/>
        </w:rPr>
        <w:t>omp</w:t>
      </w:r>
      <w:r w:rsidR="003B441E" w:rsidRPr="002D468A">
        <w:rPr>
          <w:color w:val="000000" w:themeColor="text1"/>
          <w:lang w:val="ro-RO" w:eastAsia="ro-MD"/>
        </w:rPr>
        <w:t>letează cu</w:t>
      </w:r>
      <w:r w:rsidR="00282939" w:rsidRPr="002D468A">
        <w:rPr>
          <w:color w:val="000000" w:themeColor="text1"/>
          <w:lang w:val="ro-RO" w:eastAsia="ro-MD"/>
        </w:rPr>
        <w:t xml:space="preserve"> textul</w:t>
      </w:r>
      <w:r w:rsidR="003B441E" w:rsidRPr="002D468A">
        <w:rPr>
          <w:color w:val="000000" w:themeColor="text1"/>
          <w:lang w:val="ro-RO" w:eastAsia="ro-MD"/>
        </w:rPr>
        <w:t xml:space="preserve"> „recunoscute în baza </w:t>
      </w:r>
      <w:r w:rsidR="003A1954" w:rsidRPr="002D468A">
        <w:rPr>
          <w:color w:val="000000" w:themeColor="text1"/>
          <w:lang w:val="ro-RO" w:eastAsia="ro-MD"/>
        </w:rPr>
        <w:t>Regulamentului nr.220/2025</w:t>
      </w:r>
      <w:r w:rsidR="003B441E" w:rsidRPr="002D468A">
        <w:rPr>
          <w:color w:val="000000" w:themeColor="text1"/>
          <w:lang w:val="ro-RO" w:eastAsia="ro-MD"/>
        </w:rPr>
        <w:t>,</w:t>
      </w:r>
      <w:r w:rsidR="00282939" w:rsidRPr="002D468A">
        <w:rPr>
          <w:color w:val="000000" w:themeColor="text1"/>
          <w:lang w:val="ro-RO" w:eastAsia="ro-MD"/>
        </w:rPr>
        <w:t>”.</w:t>
      </w:r>
    </w:p>
    <w:p w14:paraId="6744B096" w14:textId="78C4F250" w:rsidR="00C63E10" w:rsidRPr="002D468A" w:rsidRDefault="006551C5" w:rsidP="00F7502D">
      <w:pPr>
        <w:pStyle w:val="ListParagraph"/>
        <w:numPr>
          <w:ilvl w:val="1"/>
          <w:numId w:val="27"/>
        </w:numPr>
        <w:tabs>
          <w:tab w:val="left" w:pos="567"/>
        </w:tabs>
        <w:spacing w:before="80"/>
        <w:ind w:left="0" w:firstLine="567"/>
        <w:contextualSpacing w:val="0"/>
        <w:jc w:val="both"/>
        <w:rPr>
          <w:color w:val="000000" w:themeColor="text1"/>
          <w:lang w:val="ro-MD"/>
        </w:rPr>
      </w:pPr>
      <w:r w:rsidRPr="002D468A">
        <w:rPr>
          <w:color w:val="000000" w:themeColor="text1"/>
          <w:lang w:val="ro-MD"/>
        </w:rPr>
        <w:t>La punctul 89</w:t>
      </w:r>
      <w:r w:rsidR="006952B7" w:rsidRPr="002D468A">
        <w:rPr>
          <w:color w:val="000000" w:themeColor="text1"/>
          <w:lang w:val="ro-MD"/>
        </w:rPr>
        <w:t>,</w:t>
      </w:r>
      <w:r w:rsidRPr="002D468A">
        <w:rPr>
          <w:color w:val="000000" w:themeColor="text1"/>
          <w:lang w:val="ro-MD"/>
        </w:rPr>
        <w:t xml:space="preserve"> textul „</w:t>
      </w:r>
      <w:r w:rsidRPr="002D468A">
        <w:rPr>
          <w:color w:val="000000" w:themeColor="text1"/>
          <w:lang w:val="ro-RO" w:eastAsia="ro-MD"/>
        </w:rPr>
        <w:t>Regulamentul nr.111/2018” se completează cu textul „sau actului normativ al Băncii Naționale a Moldovei aferent tratamentului riscului de credit potrivit abordării IRB, după caz”.</w:t>
      </w:r>
    </w:p>
    <w:p w14:paraId="5028009B" w14:textId="7336C420" w:rsidR="006551C5" w:rsidRPr="002D468A" w:rsidRDefault="00C74A9C" w:rsidP="00F7502D">
      <w:pPr>
        <w:pStyle w:val="ListParagraph"/>
        <w:numPr>
          <w:ilvl w:val="1"/>
          <w:numId w:val="27"/>
        </w:numPr>
        <w:tabs>
          <w:tab w:val="left" w:pos="567"/>
        </w:tabs>
        <w:spacing w:before="80"/>
        <w:ind w:left="0" w:firstLine="567"/>
        <w:contextualSpacing w:val="0"/>
        <w:jc w:val="both"/>
        <w:rPr>
          <w:color w:val="000000" w:themeColor="text1"/>
          <w:lang w:val="ro-MD"/>
        </w:rPr>
      </w:pPr>
      <w:r w:rsidRPr="002D468A">
        <w:rPr>
          <w:color w:val="000000" w:themeColor="text1"/>
          <w:lang w:val="ro-MD"/>
        </w:rPr>
        <w:t>La punctul 90</w:t>
      </w:r>
      <w:r w:rsidR="006952B7" w:rsidRPr="002D468A">
        <w:rPr>
          <w:color w:val="000000" w:themeColor="text1"/>
          <w:lang w:val="ro-MD"/>
        </w:rPr>
        <w:t>,</w:t>
      </w:r>
      <w:r w:rsidRPr="002D468A">
        <w:rPr>
          <w:color w:val="000000" w:themeColor="text1"/>
          <w:lang w:val="ro-MD"/>
        </w:rPr>
        <w:t xml:space="preserve"> textul „</w:t>
      </w:r>
      <w:r w:rsidRPr="002D468A">
        <w:rPr>
          <w:color w:val="000000" w:themeColor="text1"/>
          <w:lang w:val="ro-RO" w:eastAsia="ro-MD"/>
        </w:rPr>
        <w:t xml:space="preserve">Fără a aduce atingere punctului 89,” se exclude, iar după cuvântul „băncile” se completează cu textul „care utilizează metoda modelului intern pentru tratamentul riscului de credit al </w:t>
      </w:r>
      <w:proofErr w:type="spellStart"/>
      <w:r w:rsidRPr="002D468A">
        <w:rPr>
          <w:color w:val="000000" w:themeColor="text1"/>
          <w:lang w:val="ro-RO" w:eastAsia="ro-MD"/>
        </w:rPr>
        <w:t>contrapărții</w:t>
      </w:r>
      <w:proofErr w:type="spellEnd"/>
      <w:r w:rsidRPr="002D468A">
        <w:rPr>
          <w:color w:val="000000" w:themeColor="text1"/>
          <w:lang w:val="ro-RO" w:eastAsia="ro-MD"/>
        </w:rPr>
        <w:t>,”.</w:t>
      </w:r>
    </w:p>
    <w:p w14:paraId="01A897F1" w14:textId="60B85FD1" w:rsidR="006551C5" w:rsidRPr="002D468A" w:rsidRDefault="00C74A9C" w:rsidP="00F7502D">
      <w:pPr>
        <w:pStyle w:val="ListParagraph"/>
        <w:numPr>
          <w:ilvl w:val="1"/>
          <w:numId w:val="27"/>
        </w:numPr>
        <w:tabs>
          <w:tab w:val="left" w:pos="567"/>
        </w:tabs>
        <w:spacing w:before="80"/>
        <w:ind w:left="0" w:firstLine="567"/>
        <w:contextualSpacing w:val="0"/>
        <w:jc w:val="both"/>
        <w:rPr>
          <w:color w:val="000000" w:themeColor="text1"/>
          <w:lang w:val="ro-MD"/>
        </w:rPr>
      </w:pPr>
      <w:r w:rsidRPr="002D468A">
        <w:rPr>
          <w:color w:val="000000" w:themeColor="text1"/>
          <w:lang w:val="ro-MD"/>
        </w:rPr>
        <w:t>Punctul 91 va avea următorul cuprins:</w:t>
      </w:r>
    </w:p>
    <w:p w14:paraId="7060865A" w14:textId="77777777" w:rsidR="00C74A9C" w:rsidRPr="002D468A" w:rsidRDefault="00C74A9C" w:rsidP="00C74A9C">
      <w:pPr>
        <w:jc w:val="both"/>
        <w:rPr>
          <w:color w:val="000000" w:themeColor="text1"/>
          <w:lang w:val="ro-RO" w:eastAsia="ro-MD"/>
        </w:rPr>
      </w:pPr>
      <w:r w:rsidRPr="002D468A">
        <w:rPr>
          <w:color w:val="000000" w:themeColor="text1"/>
          <w:lang w:val="ro-MD"/>
        </w:rPr>
        <w:t>„</w:t>
      </w:r>
      <w:r w:rsidRPr="002D468A">
        <w:rPr>
          <w:b/>
          <w:bCs/>
          <w:color w:val="000000" w:themeColor="text1"/>
          <w:lang w:val="ro-RO" w:eastAsia="ro-MD"/>
        </w:rPr>
        <w:t>91.</w:t>
      </w:r>
      <w:r w:rsidRPr="002D468A">
        <w:rPr>
          <w:color w:val="000000" w:themeColor="text1"/>
          <w:lang w:val="ro-RO" w:eastAsia="ro-MD"/>
        </w:rPr>
        <w:t xml:space="preserve"> În vederea calculării valorii E menționate la punctul 90, se aplică următoarele:</w:t>
      </w:r>
    </w:p>
    <w:p w14:paraId="420F310B" w14:textId="77777777" w:rsidR="00C74A9C" w:rsidRPr="002D468A" w:rsidRDefault="00C74A9C" w:rsidP="00C74A9C">
      <w:pPr>
        <w:ind w:firstLine="567"/>
        <w:jc w:val="both"/>
        <w:rPr>
          <w:color w:val="000000" w:themeColor="text1"/>
          <w:lang w:val="ro-RO" w:eastAsia="ro-MD"/>
        </w:rPr>
      </w:pPr>
      <w:r w:rsidRPr="002D468A">
        <w:rPr>
          <w:color w:val="000000" w:themeColor="text1"/>
          <w:lang w:val="ro-RO" w:eastAsia="ro-MD"/>
        </w:rPr>
        <w:t xml:space="preserve">1) pentru băncile care calculează valorile ponderate la risc ale expunerilor conform abordării standardizate, valoarea expunerii unui element </w:t>
      </w:r>
      <w:proofErr w:type="spellStart"/>
      <w:r w:rsidRPr="002D468A">
        <w:rPr>
          <w:color w:val="000000" w:themeColor="text1"/>
          <w:lang w:val="ro-RO" w:eastAsia="ro-MD"/>
        </w:rPr>
        <w:t>extrabilanțier</w:t>
      </w:r>
      <w:proofErr w:type="spellEnd"/>
      <w:r w:rsidRPr="002D468A">
        <w:rPr>
          <w:color w:val="000000" w:themeColor="text1"/>
          <w:lang w:val="ro-RO" w:eastAsia="ro-MD"/>
        </w:rPr>
        <w:t xml:space="preserve"> indicat în Regulamentul nr.111/2018 trebuie să fie 100% din valoarea elementului respectiv și nu valoarea expunerii indicată în actul normativ menționat supra;</w:t>
      </w:r>
    </w:p>
    <w:p w14:paraId="7919C7C7" w14:textId="38785F50" w:rsidR="00C74A9C" w:rsidRPr="002D468A" w:rsidRDefault="00C74A9C" w:rsidP="00C74A9C">
      <w:pPr>
        <w:tabs>
          <w:tab w:val="left" w:pos="567"/>
        </w:tabs>
        <w:ind w:firstLine="567"/>
        <w:jc w:val="both"/>
        <w:rPr>
          <w:color w:val="000000" w:themeColor="text1"/>
          <w:lang w:val="ro-MD"/>
        </w:rPr>
      </w:pPr>
      <w:r w:rsidRPr="002D468A">
        <w:rPr>
          <w:color w:val="000000" w:themeColor="text1"/>
          <w:lang w:val="ro-RO" w:eastAsia="ro-MD"/>
        </w:rPr>
        <w:t xml:space="preserve">2) pentru elementele </w:t>
      </w:r>
      <w:proofErr w:type="spellStart"/>
      <w:r w:rsidRPr="002D468A">
        <w:rPr>
          <w:color w:val="000000" w:themeColor="text1"/>
          <w:lang w:val="ro-RO" w:eastAsia="ro-MD"/>
        </w:rPr>
        <w:t>extrabilanțiere</w:t>
      </w:r>
      <w:proofErr w:type="spellEnd"/>
      <w:r w:rsidRPr="002D468A">
        <w:rPr>
          <w:color w:val="000000" w:themeColor="text1"/>
          <w:lang w:val="ro-RO" w:eastAsia="ro-MD"/>
        </w:rPr>
        <w:t>, altele decât instrumentele financiare derivate tratate conform abordării IRB, băncile își calculează valorile expunerilor utilizând un</w:t>
      </w:r>
      <w:r w:rsidR="008D284E" w:rsidRPr="002D468A">
        <w:t xml:space="preserve"> </w:t>
      </w:r>
      <w:r w:rsidR="008D284E" w:rsidRPr="002D468A">
        <w:rPr>
          <w:color w:val="000000" w:themeColor="text1"/>
          <w:lang w:val="ro-RO" w:eastAsia="ro-MD"/>
        </w:rPr>
        <w:t>factor de conversie a creditului</w:t>
      </w:r>
      <w:r w:rsidRPr="002D468A">
        <w:rPr>
          <w:color w:val="000000" w:themeColor="text1"/>
          <w:lang w:val="ro-RO" w:eastAsia="ro-MD"/>
        </w:rPr>
        <w:t xml:space="preserve"> </w:t>
      </w:r>
      <w:r w:rsidR="008D284E" w:rsidRPr="002D468A">
        <w:rPr>
          <w:color w:val="000000" w:themeColor="text1"/>
          <w:lang w:val="ro-RO" w:eastAsia="ro-MD"/>
        </w:rPr>
        <w:t>(</w:t>
      </w:r>
      <w:r w:rsidRPr="002D468A">
        <w:rPr>
          <w:color w:val="000000" w:themeColor="text1"/>
          <w:lang w:val="ro-RO" w:eastAsia="ro-MD"/>
        </w:rPr>
        <w:t>CCF</w:t>
      </w:r>
      <w:r w:rsidR="008D284E" w:rsidRPr="002D468A">
        <w:rPr>
          <w:color w:val="000000" w:themeColor="text1"/>
          <w:lang w:val="ro-RO" w:eastAsia="ro-MD"/>
        </w:rPr>
        <w:t>)</w:t>
      </w:r>
      <w:r w:rsidRPr="002D468A">
        <w:rPr>
          <w:color w:val="000000" w:themeColor="text1"/>
          <w:lang w:val="ro-RO" w:eastAsia="ro-MD"/>
        </w:rPr>
        <w:t xml:space="preserve"> de 100% în locul CCF pe baza abordării standardizate sau CCF pe baza abordării IRB.”.</w:t>
      </w:r>
    </w:p>
    <w:p w14:paraId="6DA15149" w14:textId="7175368D" w:rsidR="00C74A9C" w:rsidRPr="002D468A" w:rsidRDefault="0091180D" w:rsidP="00F7502D">
      <w:pPr>
        <w:pStyle w:val="ListParagraph"/>
        <w:numPr>
          <w:ilvl w:val="1"/>
          <w:numId w:val="27"/>
        </w:numPr>
        <w:tabs>
          <w:tab w:val="left" w:pos="567"/>
        </w:tabs>
        <w:spacing w:before="80"/>
        <w:ind w:left="0" w:firstLine="567"/>
        <w:contextualSpacing w:val="0"/>
        <w:jc w:val="both"/>
        <w:rPr>
          <w:color w:val="000000" w:themeColor="text1"/>
          <w:lang w:val="ro-MD"/>
        </w:rPr>
      </w:pPr>
      <w:r w:rsidRPr="002D468A">
        <w:rPr>
          <w:color w:val="000000" w:themeColor="text1"/>
          <w:lang w:val="ro-MD"/>
        </w:rPr>
        <w:t>Se completează cu punctul 92</w:t>
      </w:r>
      <w:r w:rsidRPr="002D468A">
        <w:rPr>
          <w:color w:val="000000" w:themeColor="text1"/>
          <w:vertAlign w:val="superscript"/>
          <w:lang w:val="ro-MD"/>
        </w:rPr>
        <w:t>1</w:t>
      </w:r>
      <w:r w:rsidRPr="002D468A">
        <w:rPr>
          <w:color w:val="000000" w:themeColor="text1"/>
          <w:lang w:val="ro-MD"/>
        </w:rPr>
        <w:t xml:space="preserve"> cu următorul cuprins:</w:t>
      </w:r>
    </w:p>
    <w:p w14:paraId="16A04623" w14:textId="532E9683" w:rsidR="0091180D" w:rsidRPr="002D468A" w:rsidRDefault="0091180D" w:rsidP="00483623">
      <w:pPr>
        <w:tabs>
          <w:tab w:val="left" w:pos="567"/>
        </w:tabs>
        <w:jc w:val="both"/>
        <w:rPr>
          <w:color w:val="000000" w:themeColor="text1"/>
          <w:lang w:val="ro-MD"/>
        </w:rPr>
      </w:pPr>
      <w:r w:rsidRPr="002D468A">
        <w:rPr>
          <w:color w:val="000000" w:themeColor="text1"/>
          <w:lang w:val="ro-MD"/>
        </w:rPr>
        <w:t>„</w:t>
      </w:r>
      <w:r w:rsidR="002B418E" w:rsidRPr="002D468A">
        <w:rPr>
          <w:b/>
          <w:bCs/>
          <w:color w:val="000000" w:themeColor="text1"/>
          <w:lang w:val="ro-RO" w:eastAsia="ro-MD"/>
        </w:rPr>
        <w:t>92</w:t>
      </w:r>
      <w:r w:rsidR="002B418E" w:rsidRPr="002D468A">
        <w:rPr>
          <w:b/>
          <w:bCs/>
          <w:color w:val="000000" w:themeColor="text1"/>
          <w:vertAlign w:val="superscript"/>
          <w:lang w:val="ro-RO" w:eastAsia="ro-MD"/>
        </w:rPr>
        <w:t>1</w:t>
      </w:r>
      <w:r w:rsidR="002B418E" w:rsidRPr="002D468A">
        <w:rPr>
          <w:b/>
          <w:bCs/>
          <w:color w:val="000000" w:themeColor="text1"/>
          <w:lang w:val="ro-RO" w:eastAsia="ro-MD"/>
        </w:rPr>
        <w:t>.</w:t>
      </w:r>
      <w:r w:rsidR="002B418E" w:rsidRPr="002D468A">
        <w:rPr>
          <w:color w:val="000000" w:themeColor="text1"/>
          <w:lang w:val="ro-RO" w:eastAsia="ro-MD"/>
        </w:rPr>
        <w:t xml:space="preserve"> În cazul tranzacțiilor cu instrumente financiare derivate </w:t>
      </w:r>
      <w:proofErr w:type="spellStart"/>
      <w:r w:rsidR="002B418E" w:rsidRPr="002D468A">
        <w:rPr>
          <w:color w:val="000000" w:themeColor="text1"/>
          <w:lang w:val="ro-RO" w:eastAsia="ro-MD"/>
        </w:rPr>
        <w:t>extrabursiere</w:t>
      </w:r>
      <w:proofErr w:type="spellEnd"/>
      <w:r w:rsidR="002B418E" w:rsidRPr="002D468A">
        <w:rPr>
          <w:color w:val="000000" w:themeColor="text1"/>
          <w:lang w:val="ro-RO" w:eastAsia="ro-MD"/>
        </w:rPr>
        <w:t xml:space="preserve">, băncile care utilizează metodele abordării standardizate, abordării standardizate simplificate și metoda expunerii inițiale prevăzute în </w:t>
      </w:r>
      <w:r w:rsidR="003C7D22" w:rsidRPr="002D468A">
        <w:rPr>
          <w:color w:val="000000" w:themeColor="text1"/>
          <w:lang w:val="ro-RO" w:eastAsia="ro-MD"/>
        </w:rPr>
        <w:t>Regulamentul nr.220/2025</w:t>
      </w:r>
      <w:r w:rsidR="002B418E" w:rsidRPr="002D468A">
        <w:rPr>
          <w:color w:val="000000" w:themeColor="text1"/>
          <w:lang w:val="ro-RO" w:eastAsia="ro-MD"/>
        </w:rPr>
        <w:t xml:space="preserve">, țin seama de efectele de diminuare a riscului ale garanțiilor reale în conformitate cu dispozițiile </w:t>
      </w:r>
      <w:r w:rsidR="00EE31CD" w:rsidRPr="002D468A">
        <w:rPr>
          <w:color w:val="000000" w:themeColor="text1"/>
          <w:lang w:val="ro-RO" w:eastAsia="ro-MD"/>
        </w:rPr>
        <w:t>prevăzute în Regulamentul nr.220/2025 capitolul III, IV și V</w:t>
      </w:r>
      <w:r w:rsidR="002B418E" w:rsidRPr="002D468A">
        <w:rPr>
          <w:color w:val="000000" w:themeColor="text1"/>
          <w:lang w:val="ro-RO" w:eastAsia="ro-MD"/>
        </w:rPr>
        <w:t>, după caz.”.</w:t>
      </w:r>
    </w:p>
    <w:p w14:paraId="69BC5A4D" w14:textId="6999B180" w:rsidR="008A1582" w:rsidRPr="002D468A" w:rsidRDefault="008A1582" w:rsidP="008A1582">
      <w:pPr>
        <w:pStyle w:val="ListParagraph"/>
        <w:numPr>
          <w:ilvl w:val="1"/>
          <w:numId w:val="27"/>
        </w:numPr>
        <w:tabs>
          <w:tab w:val="left" w:pos="567"/>
        </w:tabs>
        <w:spacing w:before="80"/>
        <w:ind w:left="0" w:firstLine="567"/>
        <w:contextualSpacing w:val="0"/>
        <w:jc w:val="both"/>
        <w:rPr>
          <w:color w:val="000000" w:themeColor="text1"/>
          <w:lang w:val="ro-MD"/>
        </w:rPr>
      </w:pPr>
      <w:r w:rsidRPr="002D468A">
        <w:rPr>
          <w:color w:val="000000" w:themeColor="text1"/>
          <w:lang w:val="ro-MD"/>
        </w:rPr>
        <w:t>La punctul 95:</w:t>
      </w:r>
    </w:p>
    <w:p w14:paraId="2BB52932" w14:textId="406334A8" w:rsidR="008A1582" w:rsidRPr="002D468A" w:rsidRDefault="004270DC" w:rsidP="00CB36D2">
      <w:pPr>
        <w:pStyle w:val="ListParagraph"/>
        <w:numPr>
          <w:ilvl w:val="2"/>
          <w:numId w:val="27"/>
        </w:numPr>
        <w:tabs>
          <w:tab w:val="left" w:pos="567"/>
        </w:tabs>
        <w:spacing w:before="80"/>
        <w:ind w:left="0" w:firstLine="567"/>
        <w:contextualSpacing w:val="0"/>
        <w:jc w:val="both"/>
        <w:rPr>
          <w:color w:val="000000" w:themeColor="text1"/>
          <w:lang w:val="ro-MD"/>
        </w:rPr>
      </w:pPr>
      <w:r w:rsidRPr="002D468A">
        <w:rPr>
          <w:color w:val="000000" w:themeColor="text1"/>
          <w:lang w:val="ro-MD"/>
        </w:rPr>
        <w:t>t</w:t>
      </w:r>
      <w:r w:rsidR="008A1582" w:rsidRPr="002D468A">
        <w:rPr>
          <w:color w:val="000000" w:themeColor="text1"/>
          <w:lang w:val="ro-MD"/>
        </w:rPr>
        <w:t>abelul nr.1 va avea următorul cuprins:</w:t>
      </w:r>
    </w:p>
    <w:p w14:paraId="7326D3BC" w14:textId="77777777" w:rsidR="004270DC" w:rsidRDefault="004270DC" w:rsidP="004270DC">
      <w:pPr>
        <w:jc w:val="right"/>
        <w:rPr>
          <w:b/>
          <w:bCs/>
          <w:color w:val="000000" w:themeColor="text1"/>
          <w:lang w:val="ro-RO" w:eastAsia="ro-MD"/>
        </w:rPr>
      </w:pPr>
      <w:r w:rsidRPr="002D468A">
        <w:rPr>
          <w:color w:val="000000" w:themeColor="text1"/>
          <w:lang w:val="ro-MD"/>
        </w:rPr>
        <w:t>„</w:t>
      </w:r>
      <w:r w:rsidRPr="002D468A">
        <w:rPr>
          <w:b/>
          <w:bCs/>
          <w:color w:val="000000" w:themeColor="text1"/>
          <w:lang w:val="ro-RO" w:eastAsia="ro-MD"/>
        </w:rPr>
        <w:t>Tabelul nr.1</w:t>
      </w:r>
    </w:p>
    <w:p w14:paraId="7078BA01" w14:textId="77777777" w:rsidR="0047035C" w:rsidRPr="002D468A" w:rsidRDefault="0047035C" w:rsidP="004270DC">
      <w:pPr>
        <w:jc w:val="right"/>
        <w:rPr>
          <w:color w:val="000000" w:themeColor="text1"/>
          <w:lang w:val="ro-RO" w:eastAsia="ro-MD"/>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1077"/>
        <w:gridCol w:w="964"/>
        <w:gridCol w:w="849"/>
        <w:gridCol w:w="849"/>
        <w:gridCol w:w="850"/>
        <w:gridCol w:w="850"/>
        <w:gridCol w:w="850"/>
        <w:gridCol w:w="850"/>
        <w:gridCol w:w="850"/>
        <w:gridCol w:w="850"/>
        <w:gridCol w:w="850"/>
      </w:tblGrid>
      <w:tr w:rsidR="000B2CBE" w:rsidRPr="002D468A" w14:paraId="1424FB2A" w14:textId="77777777" w:rsidTr="000773D3">
        <w:trPr>
          <w:gridAfter w:val="10"/>
          <w:jc w:val="center"/>
        </w:trPr>
        <w:tc>
          <w:tcPr>
            <w:tcW w:w="0" w:type="auto"/>
            <w:tcBorders>
              <w:top w:val="nil"/>
              <w:left w:val="nil"/>
              <w:bottom w:val="single" w:sz="6" w:space="0" w:color="000000"/>
              <w:right w:val="nil"/>
            </w:tcBorders>
            <w:tcMar>
              <w:top w:w="24" w:type="dxa"/>
              <w:left w:w="48" w:type="dxa"/>
              <w:bottom w:w="24" w:type="dxa"/>
              <w:right w:w="48" w:type="dxa"/>
            </w:tcMar>
            <w:hideMark/>
          </w:tcPr>
          <w:p w14:paraId="3395C7F6" w14:textId="3629C0D6" w:rsidR="004270DC" w:rsidRPr="002D468A" w:rsidRDefault="004270DC" w:rsidP="0047035C">
            <w:pPr>
              <w:rPr>
                <w:color w:val="000000" w:themeColor="text1"/>
                <w:lang w:val="ro-RO" w:eastAsia="ro-MD"/>
              </w:rPr>
            </w:pPr>
          </w:p>
        </w:tc>
      </w:tr>
      <w:tr w:rsidR="000B2CBE" w:rsidRPr="002D468A" w14:paraId="6525C0E7" w14:textId="77777777" w:rsidTr="000773D3">
        <w:tblPrEx>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rPr>
          <w:jc w:val="center"/>
        </w:trPr>
        <w:tc>
          <w:tcPr>
            <w:tcW w:w="0" w:type="auto"/>
            <w:tcBorders>
              <w:top w:val="outset" w:sz="6" w:space="0" w:color="auto"/>
              <w:left w:val="outset" w:sz="6" w:space="0" w:color="auto"/>
              <w:bottom w:val="outset" w:sz="6" w:space="0" w:color="auto"/>
              <w:right w:val="outset" w:sz="6" w:space="0" w:color="auto"/>
            </w:tcBorders>
            <w:hideMark/>
          </w:tcPr>
          <w:p w14:paraId="69C44915" w14:textId="77777777" w:rsidR="004270DC" w:rsidRPr="002D468A" w:rsidRDefault="004270DC" w:rsidP="000773D3">
            <w:pPr>
              <w:spacing w:before="60" w:after="60" w:line="312" w:lineRule="atLeast"/>
              <w:jc w:val="both"/>
              <w:rPr>
                <w:b/>
                <w:bCs/>
                <w:color w:val="000000" w:themeColor="text1"/>
                <w:lang w:val="ro-RO" w:eastAsia="ro-MD"/>
              </w:rPr>
            </w:pPr>
            <w:r w:rsidRPr="002D468A">
              <w:rPr>
                <w:b/>
                <w:bCs/>
                <w:color w:val="000000" w:themeColor="text1"/>
                <w:lang w:val="ro-RO" w:eastAsia="ro-MD"/>
              </w:rPr>
              <w:t xml:space="preserve">Nivelul de calitate a creditului cu care este asociată evaluarea creditului </w:t>
            </w:r>
            <w:r w:rsidRPr="002D468A">
              <w:rPr>
                <w:b/>
                <w:bCs/>
                <w:color w:val="000000" w:themeColor="text1"/>
                <w:lang w:val="ro-RO" w:eastAsia="ro-MD"/>
              </w:rPr>
              <w:lastRenderedPageBreak/>
              <w:t>pentru titlul de datorie</w:t>
            </w:r>
          </w:p>
        </w:tc>
        <w:tc>
          <w:tcPr>
            <w:tcW w:w="0" w:type="auto"/>
            <w:tcBorders>
              <w:top w:val="outset" w:sz="6" w:space="0" w:color="auto"/>
              <w:left w:val="outset" w:sz="6" w:space="0" w:color="auto"/>
              <w:bottom w:val="outset" w:sz="6" w:space="0" w:color="auto"/>
              <w:right w:val="outset" w:sz="6" w:space="0" w:color="auto"/>
            </w:tcBorders>
            <w:hideMark/>
          </w:tcPr>
          <w:p w14:paraId="2A3487C4" w14:textId="77777777" w:rsidR="004270DC" w:rsidRPr="002D468A" w:rsidRDefault="004270DC" w:rsidP="000773D3">
            <w:pPr>
              <w:spacing w:before="60" w:after="60" w:line="312" w:lineRule="atLeast"/>
              <w:jc w:val="both"/>
              <w:rPr>
                <w:b/>
                <w:bCs/>
                <w:color w:val="000000" w:themeColor="text1"/>
                <w:lang w:val="ro-RO" w:eastAsia="ro-MD"/>
              </w:rPr>
            </w:pPr>
            <w:r w:rsidRPr="002D468A">
              <w:rPr>
                <w:b/>
                <w:bCs/>
                <w:color w:val="000000" w:themeColor="text1"/>
                <w:lang w:val="ro-RO" w:eastAsia="ro-MD"/>
              </w:rPr>
              <w:lastRenderedPageBreak/>
              <w:t>Scadența reziduală (m), exprimată în ani</w:t>
            </w:r>
          </w:p>
        </w:tc>
        <w:tc>
          <w:tcPr>
            <w:tcW w:w="0" w:type="auto"/>
            <w:gridSpan w:val="3"/>
            <w:tcBorders>
              <w:top w:val="outset" w:sz="6" w:space="0" w:color="auto"/>
              <w:left w:val="outset" w:sz="6" w:space="0" w:color="auto"/>
              <w:bottom w:val="outset" w:sz="6" w:space="0" w:color="auto"/>
              <w:right w:val="outset" w:sz="6" w:space="0" w:color="auto"/>
            </w:tcBorders>
            <w:hideMark/>
          </w:tcPr>
          <w:p w14:paraId="3C493B93" w14:textId="77777777" w:rsidR="004270DC" w:rsidRPr="002D468A" w:rsidRDefault="004270DC" w:rsidP="000773D3">
            <w:pPr>
              <w:spacing w:before="60" w:after="60" w:line="312" w:lineRule="atLeast"/>
              <w:jc w:val="both"/>
              <w:rPr>
                <w:b/>
                <w:bCs/>
                <w:color w:val="000000" w:themeColor="text1"/>
                <w:lang w:val="ro-RO" w:eastAsia="ro-MD"/>
              </w:rPr>
            </w:pPr>
            <w:r w:rsidRPr="002D468A">
              <w:rPr>
                <w:b/>
                <w:bCs/>
                <w:color w:val="000000" w:themeColor="text1"/>
                <w:lang w:val="ro-RO" w:eastAsia="ro-MD"/>
              </w:rPr>
              <w:t>Ajustările de volatilitate pentru titlurile de datorie emise de entitățile descrise la punctul 25 subpunctele 2) și 3)</w:t>
            </w:r>
          </w:p>
        </w:tc>
        <w:tc>
          <w:tcPr>
            <w:tcW w:w="0" w:type="auto"/>
            <w:gridSpan w:val="3"/>
            <w:tcBorders>
              <w:top w:val="outset" w:sz="6" w:space="0" w:color="auto"/>
              <w:left w:val="outset" w:sz="6" w:space="0" w:color="auto"/>
              <w:bottom w:val="outset" w:sz="6" w:space="0" w:color="auto"/>
              <w:right w:val="outset" w:sz="6" w:space="0" w:color="auto"/>
            </w:tcBorders>
            <w:hideMark/>
          </w:tcPr>
          <w:p w14:paraId="607F5A48" w14:textId="77777777" w:rsidR="004270DC" w:rsidRPr="002D468A" w:rsidRDefault="004270DC" w:rsidP="000773D3">
            <w:pPr>
              <w:spacing w:before="60" w:after="60" w:line="312" w:lineRule="atLeast"/>
              <w:jc w:val="both"/>
              <w:rPr>
                <w:b/>
                <w:bCs/>
                <w:color w:val="000000" w:themeColor="text1"/>
                <w:lang w:val="ro-RO" w:eastAsia="ro-MD"/>
              </w:rPr>
            </w:pPr>
            <w:r w:rsidRPr="002D468A">
              <w:rPr>
                <w:b/>
                <w:bCs/>
                <w:color w:val="000000" w:themeColor="text1"/>
                <w:lang w:val="ro-RO" w:eastAsia="ro-MD"/>
              </w:rPr>
              <w:t>Ajustările de volatilitate pentru titlurile de datorie emise de entitățile descrise la punctul 25 subpunctele 4) și 5)</w:t>
            </w:r>
          </w:p>
        </w:tc>
        <w:tc>
          <w:tcPr>
            <w:tcW w:w="0" w:type="auto"/>
            <w:gridSpan w:val="3"/>
            <w:tcBorders>
              <w:top w:val="outset" w:sz="6" w:space="0" w:color="auto"/>
              <w:left w:val="outset" w:sz="6" w:space="0" w:color="auto"/>
              <w:bottom w:val="outset" w:sz="6" w:space="0" w:color="auto"/>
              <w:right w:val="outset" w:sz="6" w:space="0" w:color="auto"/>
            </w:tcBorders>
            <w:hideMark/>
          </w:tcPr>
          <w:p w14:paraId="10B75ADE" w14:textId="77777777" w:rsidR="004270DC" w:rsidRPr="002D468A" w:rsidRDefault="004270DC" w:rsidP="000773D3">
            <w:pPr>
              <w:spacing w:before="60" w:after="60" w:line="312" w:lineRule="atLeast"/>
              <w:jc w:val="both"/>
              <w:rPr>
                <w:b/>
                <w:bCs/>
                <w:color w:val="000000" w:themeColor="text1"/>
                <w:lang w:val="ro-RO" w:eastAsia="ro-MD"/>
              </w:rPr>
            </w:pPr>
            <w:r w:rsidRPr="002D468A">
              <w:rPr>
                <w:b/>
                <w:bCs/>
                <w:color w:val="000000" w:themeColor="text1"/>
                <w:lang w:val="ro-RO" w:eastAsia="ro-MD"/>
              </w:rPr>
              <w:t xml:space="preserve">Ajustările de volatilitate pentru pozițiile din securitizare care îndeplinesc criteriile stabilite la punctul 25 subpunctul 9) </w:t>
            </w:r>
          </w:p>
        </w:tc>
      </w:tr>
      <w:tr w:rsidR="000B2CBE" w:rsidRPr="002D468A" w14:paraId="5040A8D1" w14:textId="77777777" w:rsidTr="000773D3">
        <w:tblPrEx>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rPr>
          <w:jc w:val="center"/>
        </w:trPr>
        <w:tc>
          <w:tcPr>
            <w:tcW w:w="0" w:type="auto"/>
            <w:tcBorders>
              <w:top w:val="outset" w:sz="6" w:space="0" w:color="auto"/>
              <w:left w:val="outset" w:sz="6" w:space="0" w:color="auto"/>
              <w:bottom w:val="outset" w:sz="6" w:space="0" w:color="auto"/>
              <w:right w:val="outset" w:sz="6" w:space="0" w:color="auto"/>
            </w:tcBorders>
            <w:hideMark/>
          </w:tcPr>
          <w:p w14:paraId="746637FB" w14:textId="77777777" w:rsidR="004270DC" w:rsidRPr="002D468A" w:rsidRDefault="004270DC" w:rsidP="000773D3">
            <w:pPr>
              <w:spacing w:line="312" w:lineRule="atLeast"/>
              <w:rPr>
                <w:b/>
                <w:bCs/>
                <w:color w:val="000000" w:themeColor="text1"/>
                <w:lang w:val="ro-RO" w:eastAsia="ro-MD"/>
              </w:rPr>
            </w:pPr>
            <w:r w:rsidRPr="002D468A">
              <w:rPr>
                <w:b/>
                <w:bCs/>
                <w:color w:val="000000" w:themeColor="text1"/>
                <w:lang w:val="ro-RO"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107E7EC3" w14:textId="77777777" w:rsidR="004270DC" w:rsidRPr="002D468A" w:rsidRDefault="004270DC" w:rsidP="000773D3">
            <w:pPr>
              <w:spacing w:line="312" w:lineRule="atLeast"/>
              <w:rPr>
                <w:b/>
                <w:bCs/>
                <w:color w:val="000000" w:themeColor="text1"/>
                <w:lang w:val="ro-RO" w:eastAsia="ro-MD"/>
              </w:rPr>
            </w:pPr>
            <w:r w:rsidRPr="002D468A">
              <w:rPr>
                <w:b/>
                <w:bCs/>
                <w:color w:val="000000" w:themeColor="text1"/>
                <w:lang w:val="ro-RO"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5FD1CBF0" w14:textId="77777777" w:rsidR="004270DC" w:rsidRPr="002D468A" w:rsidRDefault="004270DC" w:rsidP="000773D3">
            <w:pPr>
              <w:spacing w:before="60" w:after="60" w:line="312" w:lineRule="atLeast"/>
              <w:jc w:val="both"/>
              <w:rPr>
                <w:b/>
                <w:bCs/>
                <w:color w:val="000000" w:themeColor="text1"/>
                <w:lang w:val="ro-RO" w:eastAsia="ro-MD"/>
              </w:rPr>
            </w:pPr>
            <w:r w:rsidRPr="002D468A">
              <w:rPr>
                <w:b/>
                <w:bCs/>
                <w:color w:val="000000" w:themeColor="text1"/>
                <w:lang w:val="ro-RO" w:eastAsia="ro-MD"/>
              </w:rPr>
              <w:t>Perioadă de deținere de 20 de zile (%)</w:t>
            </w:r>
          </w:p>
        </w:tc>
        <w:tc>
          <w:tcPr>
            <w:tcW w:w="0" w:type="auto"/>
            <w:tcBorders>
              <w:top w:val="outset" w:sz="6" w:space="0" w:color="auto"/>
              <w:left w:val="outset" w:sz="6" w:space="0" w:color="auto"/>
              <w:bottom w:val="outset" w:sz="6" w:space="0" w:color="auto"/>
              <w:right w:val="outset" w:sz="6" w:space="0" w:color="auto"/>
            </w:tcBorders>
            <w:hideMark/>
          </w:tcPr>
          <w:p w14:paraId="0E89B2DF" w14:textId="77777777" w:rsidR="004270DC" w:rsidRPr="002D468A" w:rsidRDefault="004270DC" w:rsidP="000773D3">
            <w:pPr>
              <w:spacing w:before="60" w:after="60" w:line="312" w:lineRule="atLeast"/>
              <w:jc w:val="both"/>
              <w:rPr>
                <w:b/>
                <w:bCs/>
                <w:color w:val="000000" w:themeColor="text1"/>
                <w:lang w:val="ro-RO" w:eastAsia="ro-MD"/>
              </w:rPr>
            </w:pPr>
            <w:r w:rsidRPr="002D468A">
              <w:rPr>
                <w:b/>
                <w:bCs/>
                <w:color w:val="000000" w:themeColor="text1"/>
                <w:lang w:val="ro-RO" w:eastAsia="ro-MD"/>
              </w:rPr>
              <w:t>Perioadă de deținere de 10 zile (%)</w:t>
            </w:r>
          </w:p>
        </w:tc>
        <w:tc>
          <w:tcPr>
            <w:tcW w:w="0" w:type="auto"/>
            <w:tcBorders>
              <w:top w:val="outset" w:sz="6" w:space="0" w:color="auto"/>
              <w:left w:val="outset" w:sz="6" w:space="0" w:color="auto"/>
              <w:bottom w:val="outset" w:sz="6" w:space="0" w:color="auto"/>
              <w:right w:val="outset" w:sz="6" w:space="0" w:color="auto"/>
            </w:tcBorders>
            <w:hideMark/>
          </w:tcPr>
          <w:p w14:paraId="539FD214" w14:textId="77777777" w:rsidR="004270DC" w:rsidRPr="002D468A" w:rsidRDefault="004270DC" w:rsidP="000773D3">
            <w:pPr>
              <w:spacing w:before="60" w:after="60" w:line="312" w:lineRule="atLeast"/>
              <w:jc w:val="both"/>
              <w:rPr>
                <w:b/>
                <w:bCs/>
                <w:color w:val="000000" w:themeColor="text1"/>
                <w:lang w:val="ro-RO" w:eastAsia="ro-MD"/>
              </w:rPr>
            </w:pPr>
            <w:r w:rsidRPr="002D468A">
              <w:rPr>
                <w:b/>
                <w:bCs/>
                <w:color w:val="000000" w:themeColor="text1"/>
                <w:lang w:val="ro-RO" w:eastAsia="ro-MD"/>
              </w:rPr>
              <w:t>Perioadă de deținere de 5 zile (%)</w:t>
            </w:r>
          </w:p>
        </w:tc>
        <w:tc>
          <w:tcPr>
            <w:tcW w:w="0" w:type="auto"/>
            <w:tcBorders>
              <w:top w:val="outset" w:sz="6" w:space="0" w:color="auto"/>
              <w:left w:val="outset" w:sz="6" w:space="0" w:color="auto"/>
              <w:bottom w:val="outset" w:sz="6" w:space="0" w:color="auto"/>
              <w:right w:val="outset" w:sz="6" w:space="0" w:color="auto"/>
            </w:tcBorders>
            <w:hideMark/>
          </w:tcPr>
          <w:p w14:paraId="354B2487" w14:textId="77777777" w:rsidR="004270DC" w:rsidRPr="002D468A" w:rsidRDefault="004270DC" w:rsidP="000773D3">
            <w:pPr>
              <w:spacing w:before="60" w:after="60" w:line="312" w:lineRule="atLeast"/>
              <w:jc w:val="both"/>
              <w:rPr>
                <w:b/>
                <w:bCs/>
                <w:color w:val="000000" w:themeColor="text1"/>
                <w:lang w:val="ro-RO" w:eastAsia="ro-MD"/>
              </w:rPr>
            </w:pPr>
            <w:r w:rsidRPr="002D468A">
              <w:rPr>
                <w:b/>
                <w:bCs/>
                <w:color w:val="000000" w:themeColor="text1"/>
                <w:lang w:val="ro-RO" w:eastAsia="ro-MD"/>
              </w:rPr>
              <w:t>Perioadă de deținere de 20 de zile (%)</w:t>
            </w:r>
          </w:p>
        </w:tc>
        <w:tc>
          <w:tcPr>
            <w:tcW w:w="0" w:type="auto"/>
            <w:tcBorders>
              <w:top w:val="outset" w:sz="6" w:space="0" w:color="auto"/>
              <w:left w:val="outset" w:sz="6" w:space="0" w:color="auto"/>
              <w:bottom w:val="outset" w:sz="6" w:space="0" w:color="auto"/>
              <w:right w:val="outset" w:sz="6" w:space="0" w:color="auto"/>
            </w:tcBorders>
            <w:hideMark/>
          </w:tcPr>
          <w:p w14:paraId="1EC53207" w14:textId="77777777" w:rsidR="004270DC" w:rsidRPr="002D468A" w:rsidRDefault="004270DC" w:rsidP="000773D3">
            <w:pPr>
              <w:spacing w:before="60" w:after="60" w:line="312" w:lineRule="atLeast"/>
              <w:jc w:val="both"/>
              <w:rPr>
                <w:b/>
                <w:bCs/>
                <w:color w:val="000000" w:themeColor="text1"/>
                <w:lang w:val="ro-RO" w:eastAsia="ro-MD"/>
              </w:rPr>
            </w:pPr>
            <w:r w:rsidRPr="002D468A">
              <w:rPr>
                <w:b/>
                <w:bCs/>
                <w:color w:val="000000" w:themeColor="text1"/>
                <w:lang w:val="ro-RO" w:eastAsia="ro-MD"/>
              </w:rPr>
              <w:t>Perioadă de deținere de 10 zile (%)</w:t>
            </w:r>
          </w:p>
        </w:tc>
        <w:tc>
          <w:tcPr>
            <w:tcW w:w="0" w:type="auto"/>
            <w:tcBorders>
              <w:top w:val="outset" w:sz="6" w:space="0" w:color="auto"/>
              <w:left w:val="outset" w:sz="6" w:space="0" w:color="auto"/>
              <w:bottom w:val="outset" w:sz="6" w:space="0" w:color="auto"/>
              <w:right w:val="outset" w:sz="6" w:space="0" w:color="auto"/>
            </w:tcBorders>
            <w:hideMark/>
          </w:tcPr>
          <w:p w14:paraId="0E1CE800" w14:textId="77777777" w:rsidR="004270DC" w:rsidRPr="002D468A" w:rsidRDefault="004270DC" w:rsidP="000773D3">
            <w:pPr>
              <w:spacing w:before="60" w:after="60" w:line="312" w:lineRule="atLeast"/>
              <w:jc w:val="both"/>
              <w:rPr>
                <w:b/>
                <w:bCs/>
                <w:color w:val="000000" w:themeColor="text1"/>
                <w:lang w:val="ro-RO" w:eastAsia="ro-MD"/>
              </w:rPr>
            </w:pPr>
            <w:r w:rsidRPr="002D468A">
              <w:rPr>
                <w:b/>
                <w:bCs/>
                <w:color w:val="000000" w:themeColor="text1"/>
                <w:lang w:val="ro-RO" w:eastAsia="ro-MD"/>
              </w:rPr>
              <w:t>Perioadă de deținere de 5 zile (%)</w:t>
            </w:r>
          </w:p>
        </w:tc>
        <w:tc>
          <w:tcPr>
            <w:tcW w:w="0" w:type="auto"/>
            <w:tcBorders>
              <w:top w:val="outset" w:sz="6" w:space="0" w:color="auto"/>
              <w:left w:val="outset" w:sz="6" w:space="0" w:color="auto"/>
              <w:bottom w:val="outset" w:sz="6" w:space="0" w:color="auto"/>
              <w:right w:val="outset" w:sz="6" w:space="0" w:color="auto"/>
            </w:tcBorders>
            <w:hideMark/>
          </w:tcPr>
          <w:p w14:paraId="05FCF6FC" w14:textId="77777777" w:rsidR="004270DC" w:rsidRPr="002D468A" w:rsidRDefault="004270DC" w:rsidP="000773D3">
            <w:pPr>
              <w:spacing w:before="60" w:after="60" w:line="312" w:lineRule="atLeast"/>
              <w:jc w:val="both"/>
              <w:rPr>
                <w:b/>
                <w:bCs/>
                <w:color w:val="000000" w:themeColor="text1"/>
                <w:lang w:val="ro-RO" w:eastAsia="ro-MD"/>
              </w:rPr>
            </w:pPr>
            <w:r w:rsidRPr="002D468A">
              <w:rPr>
                <w:b/>
                <w:bCs/>
                <w:color w:val="000000" w:themeColor="text1"/>
                <w:lang w:val="ro-RO" w:eastAsia="ro-MD"/>
              </w:rPr>
              <w:t>Perioadă de deținere de 20 de zile (%)</w:t>
            </w:r>
          </w:p>
        </w:tc>
        <w:tc>
          <w:tcPr>
            <w:tcW w:w="0" w:type="auto"/>
            <w:tcBorders>
              <w:top w:val="outset" w:sz="6" w:space="0" w:color="auto"/>
              <w:left w:val="outset" w:sz="6" w:space="0" w:color="auto"/>
              <w:bottom w:val="outset" w:sz="6" w:space="0" w:color="auto"/>
              <w:right w:val="outset" w:sz="6" w:space="0" w:color="auto"/>
            </w:tcBorders>
            <w:hideMark/>
          </w:tcPr>
          <w:p w14:paraId="549BD0C0" w14:textId="77777777" w:rsidR="004270DC" w:rsidRPr="002D468A" w:rsidRDefault="004270DC" w:rsidP="000773D3">
            <w:pPr>
              <w:spacing w:before="60" w:after="60" w:line="312" w:lineRule="atLeast"/>
              <w:jc w:val="both"/>
              <w:rPr>
                <w:b/>
                <w:bCs/>
                <w:color w:val="000000" w:themeColor="text1"/>
                <w:lang w:val="ro-RO" w:eastAsia="ro-MD"/>
              </w:rPr>
            </w:pPr>
            <w:r w:rsidRPr="002D468A">
              <w:rPr>
                <w:b/>
                <w:bCs/>
                <w:color w:val="000000" w:themeColor="text1"/>
                <w:lang w:val="ro-RO" w:eastAsia="ro-MD"/>
              </w:rPr>
              <w:t>Perioadă de deținere de 10 zile (%)</w:t>
            </w:r>
          </w:p>
        </w:tc>
        <w:tc>
          <w:tcPr>
            <w:tcW w:w="0" w:type="auto"/>
            <w:tcBorders>
              <w:top w:val="outset" w:sz="6" w:space="0" w:color="auto"/>
              <w:left w:val="outset" w:sz="6" w:space="0" w:color="auto"/>
              <w:bottom w:val="outset" w:sz="6" w:space="0" w:color="auto"/>
              <w:right w:val="outset" w:sz="6" w:space="0" w:color="auto"/>
            </w:tcBorders>
            <w:hideMark/>
          </w:tcPr>
          <w:p w14:paraId="78A44038" w14:textId="77777777" w:rsidR="004270DC" w:rsidRPr="002D468A" w:rsidRDefault="004270DC" w:rsidP="000773D3">
            <w:pPr>
              <w:spacing w:before="60" w:after="60" w:line="312" w:lineRule="atLeast"/>
              <w:jc w:val="both"/>
              <w:rPr>
                <w:b/>
                <w:bCs/>
                <w:color w:val="000000" w:themeColor="text1"/>
                <w:lang w:val="ro-RO" w:eastAsia="ro-MD"/>
              </w:rPr>
            </w:pPr>
            <w:r w:rsidRPr="002D468A">
              <w:rPr>
                <w:b/>
                <w:bCs/>
                <w:color w:val="000000" w:themeColor="text1"/>
                <w:lang w:val="ro-RO" w:eastAsia="ro-MD"/>
              </w:rPr>
              <w:t>Perioadă de deținere de 5 zile (%)</w:t>
            </w:r>
          </w:p>
        </w:tc>
      </w:tr>
      <w:tr w:rsidR="000B2CBE" w:rsidRPr="002D468A" w14:paraId="2B349845" w14:textId="77777777" w:rsidTr="000773D3">
        <w:tblPrEx>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rPr>
          <w:jc w:val="center"/>
        </w:trPr>
        <w:tc>
          <w:tcPr>
            <w:tcW w:w="0" w:type="auto"/>
            <w:vMerge w:val="restart"/>
            <w:tcBorders>
              <w:top w:val="outset" w:sz="6" w:space="0" w:color="auto"/>
              <w:left w:val="outset" w:sz="6" w:space="0" w:color="auto"/>
              <w:right w:val="outset" w:sz="6" w:space="0" w:color="auto"/>
            </w:tcBorders>
            <w:hideMark/>
          </w:tcPr>
          <w:p w14:paraId="5B993929"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1</w:t>
            </w:r>
          </w:p>
          <w:p w14:paraId="2032AE91" w14:textId="77777777" w:rsidR="004270DC" w:rsidRPr="002D468A" w:rsidRDefault="004270DC" w:rsidP="000773D3">
            <w:pPr>
              <w:spacing w:line="312" w:lineRule="atLeast"/>
              <w:rPr>
                <w:color w:val="000000" w:themeColor="text1"/>
                <w:lang w:eastAsia="ro-MD"/>
              </w:rPr>
            </w:pPr>
            <w:r w:rsidRPr="002D468A">
              <w:rPr>
                <w:color w:val="000000" w:themeColor="text1"/>
                <w:lang w:eastAsia="ro-MD"/>
              </w:rPr>
              <w:t> </w:t>
            </w:r>
          </w:p>
          <w:p w14:paraId="535FADE4" w14:textId="77777777" w:rsidR="004270DC" w:rsidRPr="002D468A" w:rsidRDefault="004270DC" w:rsidP="000773D3">
            <w:pPr>
              <w:spacing w:line="312" w:lineRule="atLeast"/>
              <w:rPr>
                <w:color w:val="000000" w:themeColor="text1"/>
                <w:lang w:eastAsia="ro-MD"/>
              </w:rPr>
            </w:pPr>
            <w:r w:rsidRPr="002D468A">
              <w:rPr>
                <w:color w:val="000000" w:themeColor="text1"/>
                <w:lang w:eastAsia="ro-MD"/>
              </w:rPr>
              <w:t> </w:t>
            </w:r>
          </w:p>
          <w:p w14:paraId="189EED08" w14:textId="77777777" w:rsidR="004270DC" w:rsidRPr="002D468A" w:rsidRDefault="004270DC" w:rsidP="000773D3">
            <w:pPr>
              <w:spacing w:line="312" w:lineRule="atLeast"/>
              <w:rPr>
                <w:color w:val="000000" w:themeColor="text1"/>
                <w:lang w:eastAsia="ro-MD"/>
              </w:rPr>
            </w:pPr>
            <w:r w:rsidRPr="002D468A">
              <w:rPr>
                <w:color w:val="000000" w:themeColor="text1"/>
                <w:lang w:eastAsia="ro-MD"/>
              </w:rPr>
              <w:t> </w:t>
            </w:r>
          </w:p>
          <w:p w14:paraId="23F80048" w14:textId="77777777" w:rsidR="004270DC" w:rsidRPr="002D468A" w:rsidRDefault="004270DC" w:rsidP="000773D3">
            <w:pPr>
              <w:spacing w:line="312" w:lineRule="atLeast"/>
              <w:rPr>
                <w:color w:val="000000" w:themeColor="text1"/>
                <w:lang w:eastAsia="ro-MD"/>
              </w:rPr>
            </w:pPr>
            <w:r w:rsidRPr="002D468A">
              <w:rPr>
                <w:color w:val="000000" w:themeColor="text1"/>
                <w:lang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7C2FA2B8"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m ≤ 1</w:t>
            </w:r>
          </w:p>
        </w:tc>
        <w:tc>
          <w:tcPr>
            <w:tcW w:w="0" w:type="auto"/>
            <w:tcBorders>
              <w:top w:val="outset" w:sz="6" w:space="0" w:color="auto"/>
              <w:left w:val="outset" w:sz="6" w:space="0" w:color="auto"/>
              <w:bottom w:val="outset" w:sz="6" w:space="0" w:color="auto"/>
              <w:right w:val="outset" w:sz="6" w:space="0" w:color="auto"/>
            </w:tcBorders>
            <w:hideMark/>
          </w:tcPr>
          <w:p w14:paraId="4A826182"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0,707</w:t>
            </w:r>
          </w:p>
        </w:tc>
        <w:tc>
          <w:tcPr>
            <w:tcW w:w="0" w:type="auto"/>
            <w:tcBorders>
              <w:top w:val="outset" w:sz="6" w:space="0" w:color="auto"/>
              <w:left w:val="outset" w:sz="6" w:space="0" w:color="auto"/>
              <w:bottom w:val="outset" w:sz="6" w:space="0" w:color="auto"/>
              <w:right w:val="outset" w:sz="6" w:space="0" w:color="auto"/>
            </w:tcBorders>
            <w:hideMark/>
          </w:tcPr>
          <w:p w14:paraId="06E38B07"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0,5</w:t>
            </w:r>
          </w:p>
        </w:tc>
        <w:tc>
          <w:tcPr>
            <w:tcW w:w="0" w:type="auto"/>
            <w:tcBorders>
              <w:top w:val="outset" w:sz="6" w:space="0" w:color="auto"/>
              <w:left w:val="outset" w:sz="6" w:space="0" w:color="auto"/>
              <w:bottom w:val="outset" w:sz="6" w:space="0" w:color="auto"/>
              <w:right w:val="outset" w:sz="6" w:space="0" w:color="auto"/>
            </w:tcBorders>
            <w:hideMark/>
          </w:tcPr>
          <w:p w14:paraId="62593401"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0,354</w:t>
            </w:r>
          </w:p>
        </w:tc>
        <w:tc>
          <w:tcPr>
            <w:tcW w:w="0" w:type="auto"/>
            <w:tcBorders>
              <w:top w:val="outset" w:sz="6" w:space="0" w:color="auto"/>
              <w:left w:val="outset" w:sz="6" w:space="0" w:color="auto"/>
              <w:bottom w:val="outset" w:sz="6" w:space="0" w:color="auto"/>
              <w:right w:val="outset" w:sz="6" w:space="0" w:color="auto"/>
            </w:tcBorders>
            <w:hideMark/>
          </w:tcPr>
          <w:p w14:paraId="132CE781"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1,414</w:t>
            </w:r>
          </w:p>
        </w:tc>
        <w:tc>
          <w:tcPr>
            <w:tcW w:w="0" w:type="auto"/>
            <w:tcBorders>
              <w:top w:val="outset" w:sz="6" w:space="0" w:color="auto"/>
              <w:left w:val="outset" w:sz="6" w:space="0" w:color="auto"/>
              <w:bottom w:val="outset" w:sz="6" w:space="0" w:color="auto"/>
              <w:right w:val="outset" w:sz="6" w:space="0" w:color="auto"/>
            </w:tcBorders>
            <w:hideMark/>
          </w:tcPr>
          <w:p w14:paraId="3CB9EADF"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1</w:t>
            </w:r>
          </w:p>
        </w:tc>
        <w:tc>
          <w:tcPr>
            <w:tcW w:w="0" w:type="auto"/>
            <w:tcBorders>
              <w:top w:val="outset" w:sz="6" w:space="0" w:color="auto"/>
              <w:left w:val="outset" w:sz="6" w:space="0" w:color="auto"/>
              <w:bottom w:val="outset" w:sz="6" w:space="0" w:color="auto"/>
              <w:right w:val="outset" w:sz="6" w:space="0" w:color="auto"/>
            </w:tcBorders>
            <w:hideMark/>
          </w:tcPr>
          <w:p w14:paraId="437450E4"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0,707</w:t>
            </w:r>
          </w:p>
        </w:tc>
        <w:tc>
          <w:tcPr>
            <w:tcW w:w="0" w:type="auto"/>
            <w:tcBorders>
              <w:top w:val="outset" w:sz="6" w:space="0" w:color="auto"/>
              <w:left w:val="outset" w:sz="6" w:space="0" w:color="auto"/>
              <w:bottom w:val="outset" w:sz="6" w:space="0" w:color="auto"/>
              <w:right w:val="outset" w:sz="6" w:space="0" w:color="auto"/>
            </w:tcBorders>
            <w:hideMark/>
          </w:tcPr>
          <w:p w14:paraId="60501989"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2,828</w:t>
            </w:r>
          </w:p>
        </w:tc>
        <w:tc>
          <w:tcPr>
            <w:tcW w:w="0" w:type="auto"/>
            <w:tcBorders>
              <w:top w:val="outset" w:sz="6" w:space="0" w:color="auto"/>
              <w:left w:val="outset" w:sz="6" w:space="0" w:color="auto"/>
              <w:bottom w:val="outset" w:sz="6" w:space="0" w:color="auto"/>
              <w:right w:val="outset" w:sz="6" w:space="0" w:color="auto"/>
            </w:tcBorders>
            <w:hideMark/>
          </w:tcPr>
          <w:p w14:paraId="7BF08D62"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2</w:t>
            </w:r>
          </w:p>
        </w:tc>
        <w:tc>
          <w:tcPr>
            <w:tcW w:w="0" w:type="auto"/>
            <w:tcBorders>
              <w:top w:val="outset" w:sz="6" w:space="0" w:color="auto"/>
              <w:left w:val="outset" w:sz="6" w:space="0" w:color="auto"/>
              <w:bottom w:val="outset" w:sz="6" w:space="0" w:color="auto"/>
              <w:right w:val="outset" w:sz="6" w:space="0" w:color="auto"/>
            </w:tcBorders>
            <w:hideMark/>
          </w:tcPr>
          <w:p w14:paraId="566CE907"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1,414</w:t>
            </w:r>
          </w:p>
        </w:tc>
      </w:tr>
      <w:tr w:rsidR="000B2CBE" w:rsidRPr="002D468A" w14:paraId="672FA54E" w14:textId="77777777" w:rsidTr="000773D3">
        <w:tblPrEx>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rPr>
          <w:jc w:val="center"/>
        </w:trPr>
        <w:tc>
          <w:tcPr>
            <w:tcW w:w="0" w:type="auto"/>
            <w:vMerge/>
            <w:tcBorders>
              <w:left w:val="outset" w:sz="6" w:space="0" w:color="auto"/>
              <w:right w:val="outset" w:sz="6" w:space="0" w:color="auto"/>
            </w:tcBorders>
            <w:hideMark/>
          </w:tcPr>
          <w:p w14:paraId="1BC26A08" w14:textId="77777777" w:rsidR="004270DC" w:rsidRPr="002D468A" w:rsidRDefault="004270DC" w:rsidP="000773D3">
            <w:pPr>
              <w:spacing w:line="312" w:lineRule="atLeast"/>
              <w:rPr>
                <w:color w:val="000000" w:themeColor="text1"/>
                <w:lang w:eastAsia="ro-MD"/>
              </w:rPr>
            </w:pPr>
          </w:p>
        </w:tc>
        <w:tc>
          <w:tcPr>
            <w:tcW w:w="0" w:type="auto"/>
            <w:tcBorders>
              <w:top w:val="outset" w:sz="6" w:space="0" w:color="auto"/>
              <w:left w:val="outset" w:sz="6" w:space="0" w:color="auto"/>
              <w:bottom w:val="outset" w:sz="6" w:space="0" w:color="auto"/>
              <w:right w:val="outset" w:sz="6" w:space="0" w:color="auto"/>
            </w:tcBorders>
            <w:hideMark/>
          </w:tcPr>
          <w:p w14:paraId="0C6A7C04"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1 &lt; m ≤ 3</w:t>
            </w:r>
          </w:p>
        </w:tc>
        <w:tc>
          <w:tcPr>
            <w:tcW w:w="0" w:type="auto"/>
            <w:tcBorders>
              <w:top w:val="outset" w:sz="6" w:space="0" w:color="auto"/>
              <w:left w:val="outset" w:sz="6" w:space="0" w:color="auto"/>
              <w:bottom w:val="outset" w:sz="6" w:space="0" w:color="auto"/>
              <w:right w:val="outset" w:sz="6" w:space="0" w:color="auto"/>
            </w:tcBorders>
            <w:hideMark/>
          </w:tcPr>
          <w:p w14:paraId="6C246763"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2,828</w:t>
            </w:r>
          </w:p>
        </w:tc>
        <w:tc>
          <w:tcPr>
            <w:tcW w:w="0" w:type="auto"/>
            <w:tcBorders>
              <w:top w:val="outset" w:sz="6" w:space="0" w:color="auto"/>
              <w:left w:val="outset" w:sz="6" w:space="0" w:color="auto"/>
              <w:bottom w:val="outset" w:sz="6" w:space="0" w:color="auto"/>
              <w:right w:val="outset" w:sz="6" w:space="0" w:color="auto"/>
            </w:tcBorders>
            <w:hideMark/>
          </w:tcPr>
          <w:p w14:paraId="4B9F3B2C"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2</w:t>
            </w:r>
          </w:p>
        </w:tc>
        <w:tc>
          <w:tcPr>
            <w:tcW w:w="0" w:type="auto"/>
            <w:tcBorders>
              <w:top w:val="outset" w:sz="6" w:space="0" w:color="auto"/>
              <w:left w:val="outset" w:sz="6" w:space="0" w:color="auto"/>
              <w:bottom w:val="outset" w:sz="6" w:space="0" w:color="auto"/>
              <w:right w:val="outset" w:sz="6" w:space="0" w:color="auto"/>
            </w:tcBorders>
            <w:hideMark/>
          </w:tcPr>
          <w:p w14:paraId="36ADEAB7"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1,414</w:t>
            </w:r>
          </w:p>
        </w:tc>
        <w:tc>
          <w:tcPr>
            <w:tcW w:w="0" w:type="auto"/>
            <w:tcBorders>
              <w:top w:val="outset" w:sz="6" w:space="0" w:color="auto"/>
              <w:left w:val="outset" w:sz="6" w:space="0" w:color="auto"/>
              <w:bottom w:val="outset" w:sz="6" w:space="0" w:color="auto"/>
              <w:right w:val="outset" w:sz="6" w:space="0" w:color="auto"/>
            </w:tcBorders>
            <w:hideMark/>
          </w:tcPr>
          <w:p w14:paraId="49123F41"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4,243</w:t>
            </w:r>
          </w:p>
        </w:tc>
        <w:tc>
          <w:tcPr>
            <w:tcW w:w="0" w:type="auto"/>
            <w:tcBorders>
              <w:top w:val="outset" w:sz="6" w:space="0" w:color="auto"/>
              <w:left w:val="outset" w:sz="6" w:space="0" w:color="auto"/>
              <w:bottom w:val="outset" w:sz="6" w:space="0" w:color="auto"/>
              <w:right w:val="outset" w:sz="6" w:space="0" w:color="auto"/>
            </w:tcBorders>
            <w:hideMark/>
          </w:tcPr>
          <w:p w14:paraId="5C11731C"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3</w:t>
            </w:r>
          </w:p>
        </w:tc>
        <w:tc>
          <w:tcPr>
            <w:tcW w:w="0" w:type="auto"/>
            <w:tcBorders>
              <w:top w:val="outset" w:sz="6" w:space="0" w:color="auto"/>
              <w:left w:val="outset" w:sz="6" w:space="0" w:color="auto"/>
              <w:bottom w:val="outset" w:sz="6" w:space="0" w:color="auto"/>
              <w:right w:val="outset" w:sz="6" w:space="0" w:color="auto"/>
            </w:tcBorders>
            <w:hideMark/>
          </w:tcPr>
          <w:p w14:paraId="2479D27D"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2,121</w:t>
            </w:r>
          </w:p>
        </w:tc>
        <w:tc>
          <w:tcPr>
            <w:tcW w:w="0" w:type="auto"/>
            <w:tcBorders>
              <w:top w:val="outset" w:sz="6" w:space="0" w:color="auto"/>
              <w:left w:val="outset" w:sz="6" w:space="0" w:color="auto"/>
              <w:bottom w:val="outset" w:sz="6" w:space="0" w:color="auto"/>
              <w:right w:val="outset" w:sz="6" w:space="0" w:color="auto"/>
            </w:tcBorders>
            <w:hideMark/>
          </w:tcPr>
          <w:p w14:paraId="708CCCAA"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11,314</w:t>
            </w:r>
          </w:p>
        </w:tc>
        <w:tc>
          <w:tcPr>
            <w:tcW w:w="0" w:type="auto"/>
            <w:tcBorders>
              <w:top w:val="outset" w:sz="6" w:space="0" w:color="auto"/>
              <w:left w:val="outset" w:sz="6" w:space="0" w:color="auto"/>
              <w:bottom w:val="outset" w:sz="6" w:space="0" w:color="auto"/>
              <w:right w:val="outset" w:sz="6" w:space="0" w:color="auto"/>
            </w:tcBorders>
            <w:hideMark/>
          </w:tcPr>
          <w:p w14:paraId="64948BFE"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8</w:t>
            </w:r>
          </w:p>
        </w:tc>
        <w:tc>
          <w:tcPr>
            <w:tcW w:w="0" w:type="auto"/>
            <w:tcBorders>
              <w:top w:val="outset" w:sz="6" w:space="0" w:color="auto"/>
              <w:left w:val="outset" w:sz="6" w:space="0" w:color="auto"/>
              <w:bottom w:val="outset" w:sz="6" w:space="0" w:color="auto"/>
              <w:right w:val="outset" w:sz="6" w:space="0" w:color="auto"/>
            </w:tcBorders>
            <w:hideMark/>
          </w:tcPr>
          <w:p w14:paraId="31CB8164"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5,657</w:t>
            </w:r>
          </w:p>
        </w:tc>
      </w:tr>
      <w:tr w:rsidR="000B2CBE" w:rsidRPr="002D468A" w14:paraId="6F22476A" w14:textId="77777777" w:rsidTr="000773D3">
        <w:tblPrEx>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rPr>
          <w:jc w:val="center"/>
        </w:trPr>
        <w:tc>
          <w:tcPr>
            <w:tcW w:w="0" w:type="auto"/>
            <w:vMerge/>
            <w:tcBorders>
              <w:left w:val="outset" w:sz="6" w:space="0" w:color="auto"/>
              <w:right w:val="outset" w:sz="6" w:space="0" w:color="auto"/>
            </w:tcBorders>
            <w:hideMark/>
          </w:tcPr>
          <w:p w14:paraId="29E58238" w14:textId="77777777" w:rsidR="004270DC" w:rsidRPr="002D468A" w:rsidRDefault="004270DC" w:rsidP="000773D3">
            <w:pPr>
              <w:spacing w:line="312" w:lineRule="atLeast"/>
              <w:rPr>
                <w:color w:val="000000" w:themeColor="text1"/>
                <w:lang w:eastAsia="ro-MD"/>
              </w:rPr>
            </w:pPr>
          </w:p>
        </w:tc>
        <w:tc>
          <w:tcPr>
            <w:tcW w:w="0" w:type="auto"/>
            <w:tcBorders>
              <w:top w:val="outset" w:sz="6" w:space="0" w:color="auto"/>
              <w:left w:val="outset" w:sz="6" w:space="0" w:color="auto"/>
              <w:bottom w:val="outset" w:sz="6" w:space="0" w:color="auto"/>
              <w:right w:val="outset" w:sz="6" w:space="0" w:color="auto"/>
            </w:tcBorders>
            <w:hideMark/>
          </w:tcPr>
          <w:p w14:paraId="64C172DC"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3 &lt; m ≤ 5</w:t>
            </w:r>
          </w:p>
        </w:tc>
        <w:tc>
          <w:tcPr>
            <w:tcW w:w="0" w:type="auto"/>
            <w:tcBorders>
              <w:top w:val="outset" w:sz="6" w:space="0" w:color="auto"/>
              <w:left w:val="outset" w:sz="6" w:space="0" w:color="auto"/>
              <w:bottom w:val="outset" w:sz="6" w:space="0" w:color="auto"/>
              <w:right w:val="outset" w:sz="6" w:space="0" w:color="auto"/>
            </w:tcBorders>
            <w:hideMark/>
          </w:tcPr>
          <w:p w14:paraId="6C605DED"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2,828</w:t>
            </w:r>
          </w:p>
        </w:tc>
        <w:tc>
          <w:tcPr>
            <w:tcW w:w="0" w:type="auto"/>
            <w:tcBorders>
              <w:top w:val="outset" w:sz="6" w:space="0" w:color="auto"/>
              <w:left w:val="outset" w:sz="6" w:space="0" w:color="auto"/>
              <w:bottom w:val="outset" w:sz="6" w:space="0" w:color="auto"/>
              <w:right w:val="outset" w:sz="6" w:space="0" w:color="auto"/>
            </w:tcBorders>
            <w:hideMark/>
          </w:tcPr>
          <w:p w14:paraId="48003E8A"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2</w:t>
            </w:r>
          </w:p>
        </w:tc>
        <w:tc>
          <w:tcPr>
            <w:tcW w:w="0" w:type="auto"/>
            <w:tcBorders>
              <w:top w:val="outset" w:sz="6" w:space="0" w:color="auto"/>
              <w:left w:val="outset" w:sz="6" w:space="0" w:color="auto"/>
              <w:bottom w:val="outset" w:sz="6" w:space="0" w:color="auto"/>
              <w:right w:val="outset" w:sz="6" w:space="0" w:color="auto"/>
            </w:tcBorders>
            <w:hideMark/>
          </w:tcPr>
          <w:p w14:paraId="4C6C0E45"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1,414</w:t>
            </w:r>
          </w:p>
        </w:tc>
        <w:tc>
          <w:tcPr>
            <w:tcW w:w="0" w:type="auto"/>
            <w:tcBorders>
              <w:top w:val="outset" w:sz="6" w:space="0" w:color="auto"/>
              <w:left w:val="outset" w:sz="6" w:space="0" w:color="auto"/>
              <w:bottom w:val="outset" w:sz="6" w:space="0" w:color="auto"/>
              <w:right w:val="outset" w:sz="6" w:space="0" w:color="auto"/>
            </w:tcBorders>
            <w:hideMark/>
          </w:tcPr>
          <w:p w14:paraId="686C5A9C"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5,657</w:t>
            </w:r>
          </w:p>
        </w:tc>
        <w:tc>
          <w:tcPr>
            <w:tcW w:w="0" w:type="auto"/>
            <w:tcBorders>
              <w:top w:val="outset" w:sz="6" w:space="0" w:color="auto"/>
              <w:left w:val="outset" w:sz="6" w:space="0" w:color="auto"/>
              <w:bottom w:val="outset" w:sz="6" w:space="0" w:color="auto"/>
              <w:right w:val="outset" w:sz="6" w:space="0" w:color="auto"/>
            </w:tcBorders>
            <w:hideMark/>
          </w:tcPr>
          <w:p w14:paraId="1FDD01F1"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4</w:t>
            </w:r>
          </w:p>
        </w:tc>
        <w:tc>
          <w:tcPr>
            <w:tcW w:w="0" w:type="auto"/>
            <w:tcBorders>
              <w:top w:val="outset" w:sz="6" w:space="0" w:color="auto"/>
              <w:left w:val="outset" w:sz="6" w:space="0" w:color="auto"/>
              <w:bottom w:val="outset" w:sz="6" w:space="0" w:color="auto"/>
              <w:right w:val="outset" w:sz="6" w:space="0" w:color="auto"/>
            </w:tcBorders>
            <w:hideMark/>
          </w:tcPr>
          <w:p w14:paraId="7CA04A45"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2,828</w:t>
            </w:r>
          </w:p>
        </w:tc>
        <w:tc>
          <w:tcPr>
            <w:tcW w:w="0" w:type="auto"/>
            <w:tcBorders>
              <w:top w:val="outset" w:sz="6" w:space="0" w:color="auto"/>
              <w:left w:val="outset" w:sz="6" w:space="0" w:color="auto"/>
              <w:bottom w:val="outset" w:sz="6" w:space="0" w:color="auto"/>
              <w:right w:val="outset" w:sz="6" w:space="0" w:color="auto"/>
            </w:tcBorders>
            <w:hideMark/>
          </w:tcPr>
          <w:p w14:paraId="2C4E4376"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11,314</w:t>
            </w:r>
          </w:p>
        </w:tc>
        <w:tc>
          <w:tcPr>
            <w:tcW w:w="0" w:type="auto"/>
            <w:tcBorders>
              <w:top w:val="outset" w:sz="6" w:space="0" w:color="auto"/>
              <w:left w:val="outset" w:sz="6" w:space="0" w:color="auto"/>
              <w:bottom w:val="outset" w:sz="6" w:space="0" w:color="auto"/>
              <w:right w:val="outset" w:sz="6" w:space="0" w:color="auto"/>
            </w:tcBorders>
            <w:hideMark/>
          </w:tcPr>
          <w:p w14:paraId="517ECC39"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8</w:t>
            </w:r>
          </w:p>
        </w:tc>
        <w:tc>
          <w:tcPr>
            <w:tcW w:w="0" w:type="auto"/>
            <w:tcBorders>
              <w:top w:val="outset" w:sz="6" w:space="0" w:color="auto"/>
              <w:left w:val="outset" w:sz="6" w:space="0" w:color="auto"/>
              <w:bottom w:val="outset" w:sz="6" w:space="0" w:color="auto"/>
              <w:right w:val="outset" w:sz="6" w:space="0" w:color="auto"/>
            </w:tcBorders>
            <w:hideMark/>
          </w:tcPr>
          <w:p w14:paraId="086D960E"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5,657</w:t>
            </w:r>
          </w:p>
        </w:tc>
      </w:tr>
      <w:tr w:rsidR="000B2CBE" w:rsidRPr="002D468A" w14:paraId="45641245" w14:textId="77777777" w:rsidTr="000773D3">
        <w:tblPrEx>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rPr>
          <w:jc w:val="center"/>
        </w:trPr>
        <w:tc>
          <w:tcPr>
            <w:tcW w:w="0" w:type="auto"/>
            <w:vMerge/>
            <w:tcBorders>
              <w:left w:val="outset" w:sz="6" w:space="0" w:color="auto"/>
              <w:right w:val="outset" w:sz="6" w:space="0" w:color="auto"/>
            </w:tcBorders>
            <w:hideMark/>
          </w:tcPr>
          <w:p w14:paraId="111A8D6B" w14:textId="77777777" w:rsidR="004270DC" w:rsidRPr="002D468A" w:rsidRDefault="004270DC" w:rsidP="000773D3">
            <w:pPr>
              <w:spacing w:line="312" w:lineRule="atLeast"/>
              <w:rPr>
                <w:color w:val="000000" w:themeColor="text1"/>
                <w:lang w:eastAsia="ro-MD"/>
              </w:rPr>
            </w:pPr>
          </w:p>
        </w:tc>
        <w:tc>
          <w:tcPr>
            <w:tcW w:w="0" w:type="auto"/>
            <w:tcBorders>
              <w:top w:val="outset" w:sz="6" w:space="0" w:color="auto"/>
              <w:left w:val="outset" w:sz="6" w:space="0" w:color="auto"/>
              <w:bottom w:val="outset" w:sz="6" w:space="0" w:color="auto"/>
              <w:right w:val="outset" w:sz="6" w:space="0" w:color="auto"/>
            </w:tcBorders>
            <w:hideMark/>
          </w:tcPr>
          <w:p w14:paraId="42B00887"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5 &lt; m ≤ 10</w:t>
            </w:r>
          </w:p>
        </w:tc>
        <w:tc>
          <w:tcPr>
            <w:tcW w:w="0" w:type="auto"/>
            <w:tcBorders>
              <w:top w:val="outset" w:sz="6" w:space="0" w:color="auto"/>
              <w:left w:val="outset" w:sz="6" w:space="0" w:color="auto"/>
              <w:bottom w:val="outset" w:sz="6" w:space="0" w:color="auto"/>
              <w:right w:val="outset" w:sz="6" w:space="0" w:color="auto"/>
            </w:tcBorders>
            <w:hideMark/>
          </w:tcPr>
          <w:p w14:paraId="764407E5"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5,657</w:t>
            </w:r>
          </w:p>
        </w:tc>
        <w:tc>
          <w:tcPr>
            <w:tcW w:w="0" w:type="auto"/>
            <w:tcBorders>
              <w:top w:val="outset" w:sz="6" w:space="0" w:color="auto"/>
              <w:left w:val="outset" w:sz="6" w:space="0" w:color="auto"/>
              <w:bottom w:val="outset" w:sz="6" w:space="0" w:color="auto"/>
              <w:right w:val="outset" w:sz="6" w:space="0" w:color="auto"/>
            </w:tcBorders>
            <w:hideMark/>
          </w:tcPr>
          <w:p w14:paraId="2AEFC8C4"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4</w:t>
            </w:r>
          </w:p>
        </w:tc>
        <w:tc>
          <w:tcPr>
            <w:tcW w:w="0" w:type="auto"/>
            <w:tcBorders>
              <w:top w:val="outset" w:sz="6" w:space="0" w:color="auto"/>
              <w:left w:val="outset" w:sz="6" w:space="0" w:color="auto"/>
              <w:bottom w:val="outset" w:sz="6" w:space="0" w:color="auto"/>
              <w:right w:val="outset" w:sz="6" w:space="0" w:color="auto"/>
            </w:tcBorders>
            <w:hideMark/>
          </w:tcPr>
          <w:p w14:paraId="4BF5C252"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2,828</w:t>
            </w:r>
          </w:p>
        </w:tc>
        <w:tc>
          <w:tcPr>
            <w:tcW w:w="0" w:type="auto"/>
            <w:tcBorders>
              <w:top w:val="outset" w:sz="6" w:space="0" w:color="auto"/>
              <w:left w:val="outset" w:sz="6" w:space="0" w:color="auto"/>
              <w:bottom w:val="outset" w:sz="6" w:space="0" w:color="auto"/>
              <w:right w:val="outset" w:sz="6" w:space="0" w:color="auto"/>
            </w:tcBorders>
            <w:hideMark/>
          </w:tcPr>
          <w:p w14:paraId="2E2CA9B1"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8,485</w:t>
            </w:r>
          </w:p>
        </w:tc>
        <w:tc>
          <w:tcPr>
            <w:tcW w:w="0" w:type="auto"/>
            <w:tcBorders>
              <w:top w:val="outset" w:sz="6" w:space="0" w:color="auto"/>
              <w:left w:val="outset" w:sz="6" w:space="0" w:color="auto"/>
              <w:bottom w:val="outset" w:sz="6" w:space="0" w:color="auto"/>
              <w:right w:val="outset" w:sz="6" w:space="0" w:color="auto"/>
            </w:tcBorders>
            <w:hideMark/>
          </w:tcPr>
          <w:p w14:paraId="0276C658"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6</w:t>
            </w:r>
          </w:p>
        </w:tc>
        <w:tc>
          <w:tcPr>
            <w:tcW w:w="0" w:type="auto"/>
            <w:tcBorders>
              <w:top w:val="outset" w:sz="6" w:space="0" w:color="auto"/>
              <w:left w:val="outset" w:sz="6" w:space="0" w:color="auto"/>
              <w:bottom w:val="outset" w:sz="6" w:space="0" w:color="auto"/>
              <w:right w:val="outset" w:sz="6" w:space="0" w:color="auto"/>
            </w:tcBorders>
            <w:hideMark/>
          </w:tcPr>
          <w:p w14:paraId="21A3C5AF"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4,243</w:t>
            </w:r>
          </w:p>
        </w:tc>
        <w:tc>
          <w:tcPr>
            <w:tcW w:w="0" w:type="auto"/>
            <w:tcBorders>
              <w:top w:val="outset" w:sz="6" w:space="0" w:color="auto"/>
              <w:left w:val="outset" w:sz="6" w:space="0" w:color="auto"/>
              <w:bottom w:val="outset" w:sz="6" w:space="0" w:color="auto"/>
              <w:right w:val="outset" w:sz="6" w:space="0" w:color="auto"/>
            </w:tcBorders>
            <w:hideMark/>
          </w:tcPr>
          <w:p w14:paraId="22E38865"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22,627</w:t>
            </w:r>
          </w:p>
        </w:tc>
        <w:tc>
          <w:tcPr>
            <w:tcW w:w="0" w:type="auto"/>
            <w:tcBorders>
              <w:top w:val="outset" w:sz="6" w:space="0" w:color="auto"/>
              <w:left w:val="outset" w:sz="6" w:space="0" w:color="auto"/>
              <w:bottom w:val="outset" w:sz="6" w:space="0" w:color="auto"/>
              <w:right w:val="outset" w:sz="6" w:space="0" w:color="auto"/>
            </w:tcBorders>
            <w:hideMark/>
          </w:tcPr>
          <w:p w14:paraId="0DF44F8E"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16</w:t>
            </w:r>
          </w:p>
        </w:tc>
        <w:tc>
          <w:tcPr>
            <w:tcW w:w="0" w:type="auto"/>
            <w:tcBorders>
              <w:top w:val="outset" w:sz="6" w:space="0" w:color="auto"/>
              <w:left w:val="outset" w:sz="6" w:space="0" w:color="auto"/>
              <w:bottom w:val="outset" w:sz="6" w:space="0" w:color="auto"/>
              <w:right w:val="outset" w:sz="6" w:space="0" w:color="auto"/>
            </w:tcBorders>
            <w:hideMark/>
          </w:tcPr>
          <w:p w14:paraId="709CAB49"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11,314</w:t>
            </w:r>
          </w:p>
        </w:tc>
      </w:tr>
      <w:tr w:rsidR="000B2CBE" w:rsidRPr="002D468A" w14:paraId="78570E68" w14:textId="77777777" w:rsidTr="000773D3">
        <w:tblPrEx>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rPr>
          <w:jc w:val="center"/>
        </w:trPr>
        <w:tc>
          <w:tcPr>
            <w:tcW w:w="0" w:type="auto"/>
            <w:vMerge/>
            <w:tcBorders>
              <w:left w:val="outset" w:sz="6" w:space="0" w:color="auto"/>
              <w:bottom w:val="outset" w:sz="6" w:space="0" w:color="auto"/>
              <w:right w:val="outset" w:sz="6" w:space="0" w:color="auto"/>
            </w:tcBorders>
            <w:hideMark/>
          </w:tcPr>
          <w:p w14:paraId="2B1DB98F" w14:textId="77777777" w:rsidR="004270DC" w:rsidRPr="002D468A" w:rsidRDefault="004270DC" w:rsidP="000773D3">
            <w:pPr>
              <w:spacing w:line="312" w:lineRule="atLeast"/>
              <w:rPr>
                <w:color w:val="000000" w:themeColor="text1"/>
                <w:lang w:eastAsia="ro-MD"/>
              </w:rPr>
            </w:pPr>
          </w:p>
        </w:tc>
        <w:tc>
          <w:tcPr>
            <w:tcW w:w="0" w:type="auto"/>
            <w:tcBorders>
              <w:top w:val="outset" w:sz="6" w:space="0" w:color="auto"/>
              <w:left w:val="outset" w:sz="6" w:space="0" w:color="auto"/>
              <w:bottom w:val="outset" w:sz="6" w:space="0" w:color="auto"/>
              <w:right w:val="outset" w:sz="6" w:space="0" w:color="auto"/>
            </w:tcBorders>
            <w:hideMark/>
          </w:tcPr>
          <w:p w14:paraId="2E646A48"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m &gt; 10</w:t>
            </w:r>
          </w:p>
        </w:tc>
        <w:tc>
          <w:tcPr>
            <w:tcW w:w="0" w:type="auto"/>
            <w:tcBorders>
              <w:top w:val="outset" w:sz="6" w:space="0" w:color="auto"/>
              <w:left w:val="outset" w:sz="6" w:space="0" w:color="auto"/>
              <w:bottom w:val="outset" w:sz="6" w:space="0" w:color="auto"/>
              <w:right w:val="outset" w:sz="6" w:space="0" w:color="auto"/>
            </w:tcBorders>
            <w:hideMark/>
          </w:tcPr>
          <w:p w14:paraId="5D4E22FF"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5,657</w:t>
            </w:r>
          </w:p>
        </w:tc>
        <w:tc>
          <w:tcPr>
            <w:tcW w:w="0" w:type="auto"/>
            <w:tcBorders>
              <w:top w:val="outset" w:sz="6" w:space="0" w:color="auto"/>
              <w:left w:val="outset" w:sz="6" w:space="0" w:color="auto"/>
              <w:bottom w:val="outset" w:sz="6" w:space="0" w:color="auto"/>
              <w:right w:val="outset" w:sz="6" w:space="0" w:color="auto"/>
            </w:tcBorders>
            <w:hideMark/>
          </w:tcPr>
          <w:p w14:paraId="19A17E7C"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4</w:t>
            </w:r>
          </w:p>
        </w:tc>
        <w:tc>
          <w:tcPr>
            <w:tcW w:w="0" w:type="auto"/>
            <w:tcBorders>
              <w:top w:val="outset" w:sz="6" w:space="0" w:color="auto"/>
              <w:left w:val="outset" w:sz="6" w:space="0" w:color="auto"/>
              <w:bottom w:val="outset" w:sz="6" w:space="0" w:color="auto"/>
              <w:right w:val="outset" w:sz="6" w:space="0" w:color="auto"/>
            </w:tcBorders>
            <w:hideMark/>
          </w:tcPr>
          <w:p w14:paraId="637E1976"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2,828</w:t>
            </w:r>
          </w:p>
        </w:tc>
        <w:tc>
          <w:tcPr>
            <w:tcW w:w="0" w:type="auto"/>
            <w:tcBorders>
              <w:top w:val="outset" w:sz="6" w:space="0" w:color="auto"/>
              <w:left w:val="outset" w:sz="6" w:space="0" w:color="auto"/>
              <w:bottom w:val="outset" w:sz="6" w:space="0" w:color="auto"/>
              <w:right w:val="outset" w:sz="6" w:space="0" w:color="auto"/>
            </w:tcBorders>
            <w:hideMark/>
          </w:tcPr>
          <w:p w14:paraId="77A3A978"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16,971</w:t>
            </w:r>
          </w:p>
        </w:tc>
        <w:tc>
          <w:tcPr>
            <w:tcW w:w="0" w:type="auto"/>
            <w:tcBorders>
              <w:top w:val="outset" w:sz="6" w:space="0" w:color="auto"/>
              <w:left w:val="outset" w:sz="6" w:space="0" w:color="auto"/>
              <w:bottom w:val="outset" w:sz="6" w:space="0" w:color="auto"/>
              <w:right w:val="outset" w:sz="6" w:space="0" w:color="auto"/>
            </w:tcBorders>
            <w:hideMark/>
          </w:tcPr>
          <w:p w14:paraId="5CA9461F"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12</w:t>
            </w:r>
          </w:p>
        </w:tc>
        <w:tc>
          <w:tcPr>
            <w:tcW w:w="0" w:type="auto"/>
            <w:tcBorders>
              <w:top w:val="outset" w:sz="6" w:space="0" w:color="auto"/>
              <w:left w:val="outset" w:sz="6" w:space="0" w:color="auto"/>
              <w:bottom w:val="outset" w:sz="6" w:space="0" w:color="auto"/>
              <w:right w:val="outset" w:sz="6" w:space="0" w:color="auto"/>
            </w:tcBorders>
            <w:hideMark/>
          </w:tcPr>
          <w:p w14:paraId="64F3F1E5"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8,485</w:t>
            </w:r>
          </w:p>
        </w:tc>
        <w:tc>
          <w:tcPr>
            <w:tcW w:w="0" w:type="auto"/>
            <w:tcBorders>
              <w:top w:val="outset" w:sz="6" w:space="0" w:color="auto"/>
              <w:left w:val="outset" w:sz="6" w:space="0" w:color="auto"/>
              <w:bottom w:val="outset" w:sz="6" w:space="0" w:color="auto"/>
              <w:right w:val="outset" w:sz="6" w:space="0" w:color="auto"/>
            </w:tcBorders>
            <w:hideMark/>
          </w:tcPr>
          <w:p w14:paraId="7D93C7D6"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22,627</w:t>
            </w:r>
          </w:p>
        </w:tc>
        <w:tc>
          <w:tcPr>
            <w:tcW w:w="0" w:type="auto"/>
            <w:tcBorders>
              <w:top w:val="outset" w:sz="6" w:space="0" w:color="auto"/>
              <w:left w:val="outset" w:sz="6" w:space="0" w:color="auto"/>
              <w:bottom w:val="outset" w:sz="6" w:space="0" w:color="auto"/>
              <w:right w:val="outset" w:sz="6" w:space="0" w:color="auto"/>
            </w:tcBorders>
            <w:hideMark/>
          </w:tcPr>
          <w:p w14:paraId="2966614B"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16</w:t>
            </w:r>
          </w:p>
        </w:tc>
        <w:tc>
          <w:tcPr>
            <w:tcW w:w="0" w:type="auto"/>
            <w:tcBorders>
              <w:top w:val="outset" w:sz="6" w:space="0" w:color="auto"/>
              <w:left w:val="outset" w:sz="6" w:space="0" w:color="auto"/>
              <w:bottom w:val="outset" w:sz="6" w:space="0" w:color="auto"/>
              <w:right w:val="outset" w:sz="6" w:space="0" w:color="auto"/>
            </w:tcBorders>
            <w:hideMark/>
          </w:tcPr>
          <w:p w14:paraId="57AF3A29"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11,314</w:t>
            </w:r>
          </w:p>
        </w:tc>
      </w:tr>
      <w:tr w:rsidR="000B2CBE" w:rsidRPr="002D468A" w14:paraId="1614DA7A" w14:textId="77777777" w:rsidTr="000773D3">
        <w:tblPrEx>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rPr>
          <w:jc w:val="center"/>
        </w:trPr>
        <w:tc>
          <w:tcPr>
            <w:tcW w:w="0" w:type="auto"/>
            <w:vMerge w:val="restart"/>
            <w:tcBorders>
              <w:top w:val="outset" w:sz="6" w:space="0" w:color="auto"/>
              <w:left w:val="outset" w:sz="6" w:space="0" w:color="auto"/>
              <w:right w:val="outset" w:sz="6" w:space="0" w:color="auto"/>
            </w:tcBorders>
            <w:hideMark/>
          </w:tcPr>
          <w:p w14:paraId="3ED0B1FA"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2-3</w:t>
            </w:r>
          </w:p>
          <w:p w14:paraId="6748A9F2" w14:textId="77777777" w:rsidR="004270DC" w:rsidRPr="002D468A" w:rsidRDefault="004270DC" w:rsidP="000773D3">
            <w:pPr>
              <w:spacing w:line="312" w:lineRule="atLeast"/>
              <w:rPr>
                <w:color w:val="000000" w:themeColor="text1"/>
                <w:lang w:eastAsia="ro-MD"/>
              </w:rPr>
            </w:pPr>
            <w:r w:rsidRPr="002D468A">
              <w:rPr>
                <w:color w:val="000000" w:themeColor="text1"/>
                <w:lang w:eastAsia="ro-MD"/>
              </w:rPr>
              <w:t> </w:t>
            </w:r>
          </w:p>
          <w:p w14:paraId="69AC98DB" w14:textId="77777777" w:rsidR="004270DC" w:rsidRPr="002D468A" w:rsidRDefault="004270DC" w:rsidP="000773D3">
            <w:pPr>
              <w:spacing w:line="312" w:lineRule="atLeast"/>
              <w:rPr>
                <w:color w:val="000000" w:themeColor="text1"/>
                <w:lang w:eastAsia="ro-MD"/>
              </w:rPr>
            </w:pPr>
            <w:r w:rsidRPr="002D468A">
              <w:rPr>
                <w:color w:val="000000" w:themeColor="text1"/>
                <w:lang w:eastAsia="ro-MD"/>
              </w:rPr>
              <w:t> </w:t>
            </w:r>
          </w:p>
          <w:p w14:paraId="1D70F1A3" w14:textId="77777777" w:rsidR="004270DC" w:rsidRPr="002D468A" w:rsidRDefault="004270DC" w:rsidP="000773D3">
            <w:pPr>
              <w:spacing w:line="312" w:lineRule="atLeast"/>
              <w:rPr>
                <w:color w:val="000000" w:themeColor="text1"/>
                <w:lang w:eastAsia="ro-MD"/>
              </w:rPr>
            </w:pPr>
            <w:r w:rsidRPr="002D468A">
              <w:rPr>
                <w:color w:val="000000" w:themeColor="text1"/>
                <w:lang w:eastAsia="ro-MD"/>
              </w:rPr>
              <w:t> </w:t>
            </w:r>
          </w:p>
          <w:p w14:paraId="10F2B928"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4AB5FD2F"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m ≤ 1</w:t>
            </w:r>
          </w:p>
        </w:tc>
        <w:tc>
          <w:tcPr>
            <w:tcW w:w="0" w:type="auto"/>
            <w:tcBorders>
              <w:top w:val="outset" w:sz="6" w:space="0" w:color="auto"/>
              <w:left w:val="outset" w:sz="6" w:space="0" w:color="auto"/>
              <w:bottom w:val="outset" w:sz="6" w:space="0" w:color="auto"/>
              <w:right w:val="outset" w:sz="6" w:space="0" w:color="auto"/>
            </w:tcBorders>
            <w:hideMark/>
          </w:tcPr>
          <w:p w14:paraId="42BEE31E"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1,414</w:t>
            </w:r>
          </w:p>
        </w:tc>
        <w:tc>
          <w:tcPr>
            <w:tcW w:w="0" w:type="auto"/>
            <w:tcBorders>
              <w:top w:val="outset" w:sz="6" w:space="0" w:color="auto"/>
              <w:left w:val="outset" w:sz="6" w:space="0" w:color="auto"/>
              <w:bottom w:val="outset" w:sz="6" w:space="0" w:color="auto"/>
              <w:right w:val="outset" w:sz="6" w:space="0" w:color="auto"/>
            </w:tcBorders>
            <w:hideMark/>
          </w:tcPr>
          <w:p w14:paraId="301BD715"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1</w:t>
            </w:r>
          </w:p>
        </w:tc>
        <w:tc>
          <w:tcPr>
            <w:tcW w:w="0" w:type="auto"/>
            <w:tcBorders>
              <w:top w:val="outset" w:sz="6" w:space="0" w:color="auto"/>
              <w:left w:val="outset" w:sz="6" w:space="0" w:color="auto"/>
              <w:bottom w:val="outset" w:sz="6" w:space="0" w:color="auto"/>
              <w:right w:val="outset" w:sz="6" w:space="0" w:color="auto"/>
            </w:tcBorders>
            <w:hideMark/>
          </w:tcPr>
          <w:p w14:paraId="37170AA9"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0,707</w:t>
            </w:r>
          </w:p>
        </w:tc>
        <w:tc>
          <w:tcPr>
            <w:tcW w:w="0" w:type="auto"/>
            <w:tcBorders>
              <w:top w:val="outset" w:sz="6" w:space="0" w:color="auto"/>
              <w:left w:val="outset" w:sz="6" w:space="0" w:color="auto"/>
              <w:bottom w:val="outset" w:sz="6" w:space="0" w:color="auto"/>
              <w:right w:val="outset" w:sz="6" w:space="0" w:color="auto"/>
            </w:tcBorders>
            <w:hideMark/>
          </w:tcPr>
          <w:p w14:paraId="0A00BA8F"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2,828</w:t>
            </w:r>
          </w:p>
        </w:tc>
        <w:tc>
          <w:tcPr>
            <w:tcW w:w="0" w:type="auto"/>
            <w:tcBorders>
              <w:top w:val="outset" w:sz="6" w:space="0" w:color="auto"/>
              <w:left w:val="outset" w:sz="6" w:space="0" w:color="auto"/>
              <w:bottom w:val="outset" w:sz="6" w:space="0" w:color="auto"/>
              <w:right w:val="outset" w:sz="6" w:space="0" w:color="auto"/>
            </w:tcBorders>
            <w:hideMark/>
          </w:tcPr>
          <w:p w14:paraId="5901A629"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2</w:t>
            </w:r>
          </w:p>
        </w:tc>
        <w:tc>
          <w:tcPr>
            <w:tcW w:w="0" w:type="auto"/>
            <w:tcBorders>
              <w:top w:val="outset" w:sz="6" w:space="0" w:color="auto"/>
              <w:left w:val="outset" w:sz="6" w:space="0" w:color="auto"/>
              <w:bottom w:val="outset" w:sz="6" w:space="0" w:color="auto"/>
              <w:right w:val="outset" w:sz="6" w:space="0" w:color="auto"/>
            </w:tcBorders>
            <w:hideMark/>
          </w:tcPr>
          <w:p w14:paraId="2F506529"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1,414</w:t>
            </w:r>
          </w:p>
        </w:tc>
        <w:tc>
          <w:tcPr>
            <w:tcW w:w="0" w:type="auto"/>
            <w:tcBorders>
              <w:top w:val="outset" w:sz="6" w:space="0" w:color="auto"/>
              <w:left w:val="outset" w:sz="6" w:space="0" w:color="auto"/>
              <w:bottom w:val="outset" w:sz="6" w:space="0" w:color="auto"/>
              <w:right w:val="outset" w:sz="6" w:space="0" w:color="auto"/>
            </w:tcBorders>
            <w:hideMark/>
          </w:tcPr>
          <w:p w14:paraId="3A45AFCF"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5,657</w:t>
            </w:r>
          </w:p>
        </w:tc>
        <w:tc>
          <w:tcPr>
            <w:tcW w:w="0" w:type="auto"/>
            <w:tcBorders>
              <w:top w:val="outset" w:sz="6" w:space="0" w:color="auto"/>
              <w:left w:val="outset" w:sz="6" w:space="0" w:color="auto"/>
              <w:bottom w:val="outset" w:sz="6" w:space="0" w:color="auto"/>
              <w:right w:val="outset" w:sz="6" w:space="0" w:color="auto"/>
            </w:tcBorders>
            <w:hideMark/>
          </w:tcPr>
          <w:p w14:paraId="1E7670D7"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4</w:t>
            </w:r>
          </w:p>
        </w:tc>
        <w:tc>
          <w:tcPr>
            <w:tcW w:w="0" w:type="auto"/>
            <w:tcBorders>
              <w:top w:val="outset" w:sz="6" w:space="0" w:color="auto"/>
              <w:left w:val="outset" w:sz="6" w:space="0" w:color="auto"/>
              <w:bottom w:val="outset" w:sz="6" w:space="0" w:color="auto"/>
              <w:right w:val="outset" w:sz="6" w:space="0" w:color="auto"/>
            </w:tcBorders>
            <w:hideMark/>
          </w:tcPr>
          <w:p w14:paraId="40D3BD60"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2,828</w:t>
            </w:r>
          </w:p>
        </w:tc>
      </w:tr>
      <w:tr w:rsidR="000B2CBE" w:rsidRPr="002D468A" w14:paraId="3560DE51" w14:textId="77777777" w:rsidTr="000773D3">
        <w:tblPrEx>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rPr>
          <w:jc w:val="center"/>
        </w:trPr>
        <w:tc>
          <w:tcPr>
            <w:tcW w:w="0" w:type="auto"/>
            <w:vMerge/>
            <w:tcBorders>
              <w:left w:val="outset" w:sz="6" w:space="0" w:color="auto"/>
              <w:right w:val="outset" w:sz="6" w:space="0" w:color="auto"/>
            </w:tcBorders>
            <w:hideMark/>
          </w:tcPr>
          <w:p w14:paraId="390E428D" w14:textId="77777777" w:rsidR="004270DC" w:rsidRPr="002D468A" w:rsidRDefault="004270DC" w:rsidP="000773D3">
            <w:pPr>
              <w:spacing w:before="60" w:after="60" w:line="312" w:lineRule="atLeast"/>
              <w:jc w:val="both"/>
              <w:rPr>
                <w:color w:val="000000" w:themeColor="text1"/>
                <w:lang w:eastAsia="ro-MD"/>
              </w:rPr>
            </w:pPr>
          </w:p>
        </w:tc>
        <w:tc>
          <w:tcPr>
            <w:tcW w:w="0" w:type="auto"/>
            <w:tcBorders>
              <w:top w:val="outset" w:sz="6" w:space="0" w:color="auto"/>
              <w:left w:val="outset" w:sz="6" w:space="0" w:color="auto"/>
              <w:bottom w:val="outset" w:sz="6" w:space="0" w:color="auto"/>
              <w:right w:val="outset" w:sz="6" w:space="0" w:color="auto"/>
            </w:tcBorders>
            <w:hideMark/>
          </w:tcPr>
          <w:p w14:paraId="731BF8F5"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1 &lt; m ≤ 3</w:t>
            </w:r>
          </w:p>
        </w:tc>
        <w:tc>
          <w:tcPr>
            <w:tcW w:w="0" w:type="auto"/>
            <w:tcBorders>
              <w:top w:val="outset" w:sz="6" w:space="0" w:color="auto"/>
              <w:left w:val="outset" w:sz="6" w:space="0" w:color="auto"/>
              <w:bottom w:val="outset" w:sz="6" w:space="0" w:color="auto"/>
              <w:right w:val="outset" w:sz="6" w:space="0" w:color="auto"/>
            </w:tcBorders>
            <w:hideMark/>
          </w:tcPr>
          <w:p w14:paraId="132AB1C3"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4,243</w:t>
            </w:r>
          </w:p>
        </w:tc>
        <w:tc>
          <w:tcPr>
            <w:tcW w:w="0" w:type="auto"/>
            <w:tcBorders>
              <w:top w:val="outset" w:sz="6" w:space="0" w:color="auto"/>
              <w:left w:val="outset" w:sz="6" w:space="0" w:color="auto"/>
              <w:bottom w:val="outset" w:sz="6" w:space="0" w:color="auto"/>
              <w:right w:val="outset" w:sz="6" w:space="0" w:color="auto"/>
            </w:tcBorders>
            <w:hideMark/>
          </w:tcPr>
          <w:p w14:paraId="67F248E6"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3</w:t>
            </w:r>
          </w:p>
        </w:tc>
        <w:tc>
          <w:tcPr>
            <w:tcW w:w="0" w:type="auto"/>
            <w:tcBorders>
              <w:top w:val="outset" w:sz="6" w:space="0" w:color="auto"/>
              <w:left w:val="outset" w:sz="6" w:space="0" w:color="auto"/>
              <w:bottom w:val="outset" w:sz="6" w:space="0" w:color="auto"/>
              <w:right w:val="outset" w:sz="6" w:space="0" w:color="auto"/>
            </w:tcBorders>
            <w:hideMark/>
          </w:tcPr>
          <w:p w14:paraId="54E38F32"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2,121</w:t>
            </w:r>
          </w:p>
        </w:tc>
        <w:tc>
          <w:tcPr>
            <w:tcW w:w="0" w:type="auto"/>
            <w:tcBorders>
              <w:top w:val="outset" w:sz="6" w:space="0" w:color="auto"/>
              <w:left w:val="outset" w:sz="6" w:space="0" w:color="auto"/>
              <w:bottom w:val="outset" w:sz="6" w:space="0" w:color="auto"/>
              <w:right w:val="outset" w:sz="6" w:space="0" w:color="auto"/>
            </w:tcBorders>
            <w:hideMark/>
          </w:tcPr>
          <w:p w14:paraId="38F963BB"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5,657</w:t>
            </w:r>
          </w:p>
        </w:tc>
        <w:tc>
          <w:tcPr>
            <w:tcW w:w="0" w:type="auto"/>
            <w:tcBorders>
              <w:top w:val="outset" w:sz="6" w:space="0" w:color="auto"/>
              <w:left w:val="outset" w:sz="6" w:space="0" w:color="auto"/>
              <w:bottom w:val="outset" w:sz="6" w:space="0" w:color="auto"/>
              <w:right w:val="outset" w:sz="6" w:space="0" w:color="auto"/>
            </w:tcBorders>
            <w:hideMark/>
          </w:tcPr>
          <w:p w14:paraId="5273CC5B"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4</w:t>
            </w:r>
          </w:p>
        </w:tc>
        <w:tc>
          <w:tcPr>
            <w:tcW w:w="0" w:type="auto"/>
            <w:tcBorders>
              <w:top w:val="outset" w:sz="6" w:space="0" w:color="auto"/>
              <w:left w:val="outset" w:sz="6" w:space="0" w:color="auto"/>
              <w:bottom w:val="outset" w:sz="6" w:space="0" w:color="auto"/>
              <w:right w:val="outset" w:sz="6" w:space="0" w:color="auto"/>
            </w:tcBorders>
            <w:hideMark/>
          </w:tcPr>
          <w:p w14:paraId="3F73AD94"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2,828</w:t>
            </w:r>
          </w:p>
        </w:tc>
        <w:tc>
          <w:tcPr>
            <w:tcW w:w="0" w:type="auto"/>
            <w:tcBorders>
              <w:top w:val="outset" w:sz="6" w:space="0" w:color="auto"/>
              <w:left w:val="outset" w:sz="6" w:space="0" w:color="auto"/>
              <w:bottom w:val="outset" w:sz="6" w:space="0" w:color="auto"/>
              <w:right w:val="outset" w:sz="6" w:space="0" w:color="auto"/>
            </w:tcBorders>
            <w:hideMark/>
          </w:tcPr>
          <w:p w14:paraId="53D6DD88"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16,971</w:t>
            </w:r>
          </w:p>
        </w:tc>
        <w:tc>
          <w:tcPr>
            <w:tcW w:w="0" w:type="auto"/>
            <w:tcBorders>
              <w:top w:val="outset" w:sz="6" w:space="0" w:color="auto"/>
              <w:left w:val="outset" w:sz="6" w:space="0" w:color="auto"/>
              <w:bottom w:val="outset" w:sz="6" w:space="0" w:color="auto"/>
              <w:right w:val="outset" w:sz="6" w:space="0" w:color="auto"/>
            </w:tcBorders>
            <w:hideMark/>
          </w:tcPr>
          <w:p w14:paraId="74FD9148"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12</w:t>
            </w:r>
          </w:p>
        </w:tc>
        <w:tc>
          <w:tcPr>
            <w:tcW w:w="0" w:type="auto"/>
            <w:tcBorders>
              <w:top w:val="outset" w:sz="6" w:space="0" w:color="auto"/>
              <w:left w:val="outset" w:sz="6" w:space="0" w:color="auto"/>
              <w:bottom w:val="outset" w:sz="6" w:space="0" w:color="auto"/>
              <w:right w:val="outset" w:sz="6" w:space="0" w:color="auto"/>
            </w:tcBorders>
            <w:hideMark/>
          </w:tcPr>
          <w:p w14:paraId="3EBB600E"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8,485</w:t>
            </w:r>
          </w:p>
        </w:tc>
      </w:tr>
      <w:tr w:rsidR="000B2CBE" w:rsidRPr="002D468A" w14:paraId="72347E10" w14:textId="77777777" w:rsidTr="000773D3">
        <w:tblPrEx>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rPr>
          <w:jc w:val="center"/>
        </w:trPr>
        <w:tc>
          <w:tcPr>
            <w:tcW w:w="0" w:type="auto"/>
            <w:vMerge/>
            <w:tcBorders>
              <w:left w:val="outset" w:sz="6" w:space="0" w:color="auto"/>
              <w:right w:val="outset" w:sz="6" w:space="0" w:color="auto"/>
            </w:tcBorders>
            <w:hideMark/>
          </w:tcPr>
          <w:p w14:paraId="603D8C1C" w14:textId="77777777" w:rsidR="004270DC" w:rsidRPr="002D468A" w:rsidRDefault="004270DC" w:rsidP="000773D3">
            <w:pPr>
              <w:spacing w:before="60" w:after="60" w:line="312" w:lineRule="atLeast"/>
              <w:jc w:val="both"/>
              <w:rPr>
                <w:color w:val="000000" w:themeColor="text1"/>
                <w:lang w:eastAsia="ro-MD"/>
              </w:rPr>
            </w:pPr>
          </w:p>
        </w:tc>
        <w:tc>
          <w:tcPr>
            <w:tcW w:w="0" w:type="auto"/>
            <w:tcBorders>
              <w:top w:val="outset" w:sz="6" w:space="0" w:color="auto"/>
              <w:left w:val="outset" w:sz="6" w:space="0" w:color="auto"/>
              <w:bottom w:val="outset" w:sz="6" w:space="0" w:color="auto"/>
              <w:right w:val="outset" w:sz="6" w:space="0" w:color="auto"/>
            </w:tcBorders>
            <w:hideMark/>
          </w:tcPr>
          <w:p w14:paraId="34350156"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3 &lt; m ≤ 5</w:t>
            </w:r>
          </w:p>
        </w:tc>
        <w:tc>
          <w:tcPr>
            <w:tcW w:w="0" w:type="auto"/>
            <w:tcBorders>
              <w:top w:val="outset" w:sz="6" w:space="0" w:color="auto"/>
              <w:left w:val="outset" w:sz="6" w:space="0" w:color="auto"/>
              <w:bottom w:val="outset" w:sz="6" w:space="0" w:color="auto"/>
              <w:right w:val="outset" w:sz="6" w:space="0" w:color="auto"/>
            </w:tcBorders>
            <w:hideMark/>
          </w:tcPr>
          <w:p w14:paraId="7081210C"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4,243</w:t>
            </w:r>
          </w:p>
        </w:tc>
        <w:tc>
          <w:tcPr>
            <w:tcW w:w="0" w:type="auto"/>
            <w:tcBorders>
              <w:top w:val="outset" w:sz="6" w:space="0" w:color="auto"/>
              <w:left w:val="outset" w:sz="6" w:space="0" w:color="auto"/>
              <w:bottom w:val="outset" w:sz="6" w:space="0" w:color="auto"/>
              <w:right w:val="outset" w:sz="6" w:space="0" w:color="auto"/>
            </w:tcBorders>
            <w:hideMark/>
          </w:tcPr>
          <w:p w14:paraId="24DDBD47"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3</w:t>
            </w:r>
          </w:p>
        </w:tc>
        <w:tc>
          <w:tcPr>
            <w:tcW w:w="0" w:type="auto"/>
            <w:tcBorders>
              <w:top w:val="outset" w:sz="6" w:space="0" w:color="auto"/>
              <w:left w:val="outset" w:sz="6" w:space="0" w:color="auto"/>
              <w:bottom w:val="outset" w:sz="6" w:space="0" w:color="auto"/>
              <w:right w:val="outset" w:sz="6" w:space="0" w:color="auto"/>
            </w:tcBorders>
            <w:hideMark/>
          </w:tcPr>
          <w:p w14:paraId="69B30044"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2,121</w:t>
            </w:r>
          </w:p>
        </w:tc>
        <w:tc>
          <w:tcPr>
            <w:tcW w:w="0" w:type="auto"/>
            <w:tcBorders>
              <w:top w:val="outset" w:sz="6" w:space="0" w:color="auto"/>
              <w:left w:val="outset" w:sz="6" w:space="0" w:color="auto"/>
              <w:bottom w:val="outset" w:sz="6" w:space="0" w:color="auto"/>
              <w:right w:val="outset" w:sz="6" w:space="0" w:color="auto"/>
            </w:tcBorders>
            <w:hideMark/>
          </w:tcPr>
          <w:p w14:paraId="131E28BE"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8,485</w:t>
            </w:r>
          </w:p>
        </w:tc>
        <w:tc>
          <w:tcPr>
            <w:tcW w:w="0" w:type="auto"/>
            <w:tcBorders>
              <w:top w:val="outset" w:sz="6" w:space="0" w:color="auto"/>
              <w:left w:val="outset" w:sz="6" w:space="0" w:color="auto"/>
              <w:bottom w:val="outset" w:sz="6" w:space="0" w:color="auto"/>
              <w:right w:val="outset" w:sz="6" w:space="0" w:color="auto"/>
            </w:tcBorders>
            <w:hideMark/>
          </w:tcPr>
          <w:p w14:paraId="070DB40E"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6</w:t>
            </w:r>
          </w:p>
        </w:tc>
        <w:tc>
          <w:tcPr>
            <w:tcW w:w="0" w:type="auto"/>
            <w:tcBorders>
              <w:top w:val="outset" w:sz="6" w:space="0" w:color="auto"/>
              <w:left w:val="outset" w:sz="6" w:space="0" w:color="auto"/>
              <w:bottom w:val="outset" w:sz="6" w:space="0" w:color="auto"/>
              <w:right w:val="outset" w:sz="6" w:space="0" w:color="auto"/>
            </w:tcBorders>
            <w:hideMark/>
          </w:tcPr>
          <w:p w14:paraId="33C124F3"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4,243</w:t>
            </w:r>
          </w:p>
        </w:tc>
        <w:tc>
          <w:tcPr>
            <w:tcW w:w="0" w:type="auto"/>
            <w:tcBorders>
              <w:top w:val="outset" w:sz="6" w:space="0" w:color="auto"/>
              <w:left w:val="outset" w:sz="6" w:space="0" w:color="auto"/>
              <w:bottom w:val="outset" w:sz="6" w:space="0" w:color="auto"/>
              <w:right w:val="outset" w:sz="6" w:space="0" w:color="auto"/>
            </w:tcBorders>
            <w:hideMark/>
          </w:tcPr>
          <w:p w14:paraId="13B34A08"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16,971</w:t>
            </w:r>
          </w:p>
        </w:tc>
        <w:tc>
          <w:tcPr>
            <w:tcW w:w="0" w:type="auto"/>
            <w:tcBorders>
              <w:top w:val="outset" w:sz="6" w:space="0" w:color="auto"/>
              <w:left w:val="outset" w:sz="6" w:space="0" w:color="auto"/>
              <w:bottom w:val="outset" w:sz="6" w:space="0" w:color="auto"/>
              <w:right w:val="outset" w:sz="6" w:space="0" w:color="auto"/>
            </w:tcBorders>
            <w:hideMark/>
          </w:tcPr>
          <w:p w14:paraId="602BE0E2"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12</w:t>
            </w:r>
          </w:p>
        </w:tc>
        <w:tc>
          <w:tcPr>
            <w:tcW w:w="0" w:type="auto"/>
            <w:tcBorders>
              <w:top w:val="outset" w:sz="6" w:space="0" w:color="auto"/>
              <w:left w:val="outset" w:sz="6" w:space="0" w:color="auto"/>
              <w:bottom w:val="outset" w:sz="6" w:space="0" w:color="auto"/>
              <w:right w:val="outset" w:sz="6" w:space="0" w:color="auto"/>
            </w:tcBorders>
            <w:hideMark/>
          </w:tcPr>
          <w:p w14:paraId="0E5F1EFD"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8,485</w:t>
            </w:r>
          </w:p>
        </w:tc>
      </w:tr>
      <w:tr w:rsidR="000B2CBE" w:rsidRPr="002D468A" w14:paraId="42E48543" w14:textId="77777777" w:rsidTr="000773D3">
        <w:tblPrEx>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rPr>
          <w:jc w:val="center"/>
        </w:trPr>
        <w:tc>
          <w:tcPr>
            <w:tcW w:w="0" w:type="auto"/>
            <w:vMerge/>
            <w:tcBorders>
              <w:left w:val="outset" w:sz="6" w:space="0" w:color="auto"/>
              <w:right w:val="outset" w:sz="6" w:space="0" w:color="auto"/>
            </w:tcBorders>
            <w:hideMark/>
          </w:tcPr>
          <w:p w14:paraId="62D527D1" w14:textId="77777777" w:rsidR="004270DC" w:rsidRPr="002D468A" w:rsidRDefault="004270DC" w:rsidP="000773D3">
            <w:pPr>
              <w:spacing w:before="60" w:after="60" w:line="312" w:lineRule="atLeast"/>
              <w:jc w:val="both"/>
              <w:rPr>
                <w:color w:val="000000" w:themeColor="text1"/>
                <w:lang w:eastAsia="ro-MD"/>
              </w:rPr>
            </w:pPr>
          </w:p>
        </w:tc>
        <w:tc>
          <w:tcPr>
            <w:tcW w:w="0" w:type="auto"/>
            <w:tcBorders>
              <w:top w:val="outset" w:sz="6" w:space="0" w:color="auto"/>
              <w:left w:val="outset" w:sz="6" w:space="0" w:color="auto"/>
              <w:bottom w:val="outset" w:sz="6" w:space="0" w:color="auto"/>
              <w:right w:val="outset" w:sz="6" w:space="0" w:color="auto"/>
            </w:tcBorders>
            <w:hideMark/>
          </w:tcPr>
          <w:p w14:paraId="26656E72"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5 &lt; m ≤ 10</w:t>
            </w:r>
          </w:p>
        </w:tc>
        <w:tc>
          <w:tcPr>
            <w:tcW w:w="0" w:type="auto"/>
            <w:tcBorders>
              <w:top w:val="outset" w:sz="6" w:space="0" w:color="auto"/>
              <w:left w:val="outset" w:sz="6" w:space="0" w:color="auto"/>
              <w:bottom w:val="outset" w:sz="6" w:space="0" w:color="auto"/>
              <w:right w:val="outset" w:sz="6" w:space="0" w:color="auto"/>
            </w:tcBorders>
            <w:hideMark/>
          </w:tcPr>
          <w:p w14:paraId="1C4AC603"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8,485</w:t>
            </w:r>
          </w:p>
        </w:tc>
        <w:tc>
          <w:tcPr>
            <w:tcW w:w="0" w:type="auto"/>
            <w:tcBorders>
              <w:top w:val="outset" w:sz="6" w:space="0" w:color="auto"/>
              <w:left w:val="outset" w:sz="6" w:space="0" w:color="auto"/>
              <w:bottom w:val="outset" w:sz="6" w:space="0" w:color="auto"/>
              <w:right w:val="outset" w:sz="6" w:space="0" w:color="auto"/>
            </w:tcBorders>
            <w:hideMark/>
          </w:tcPr>
          <w:p w14:paraId="7B9B1636"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6</w:t>
            </w:r>
          </w:p>
        </w:tc>
        <w:tc>
          <w:tcPr>
            <w:tcW w:w="0" w:type="auto"/>
            <w:tcBorders>
              <w:top w:val="outset" w:sz="6" w:space="0" w:color="auto"/>
              <w:left w:val="outset" w:sz="6" w:space="0" w:color="auto"/>
              <w:bottom w:val="outset" w:sz="6" w:space="0" w:color="auto"/>
              <w:right w:val="outset" w:sz="6" w:space="0" w:color="auto"/>
            </w:tcBorders>
            <w:hideMark/>
          </w:tcPr>
          <w:p w14:paraId="07B00D82"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4,243</w:t>
            </w:r>
          </w:p>
        </w:tc>
        <w:tc>
          <w:tcPr>
            <w:tcW w:w="0" w:type="auto"/>
            <w:tcBorders>
              <w:top w:val="outset" w:sz="6" w:space="0" w:color="auto"/>
              <w:left w:val="outset" w:sz="6" w:space="0" w:color="auto"/>
              <w:bottom w:val="outset" w:sz="6" w:space="0" w:color="auto"/>
              <w:right w:val="outset" w:sz="6" w:space="0" w:color="auto"/>
            </w:tcBorders>
            <w:hideMark/>
          </w:tcPr>
          <w:p w14:paraId="0802D952"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16,971</w:t>
            </w:r>
          </w:p>
        </w:tc>
        <w:tc>
          <w:tcPr>
            <w:tcW w:w="0" w:type="auto"/>
            <w:tcBorders>
              <w:top w:val="outset" w:sz="6" w:space="0" w:color="auto"/>
              <w:left w:val="outset" w:sz="6" w:space="0" w:color="auto"/>
              <w:bottom w:val="outset" w:sz="6" w:space="0" w:color="auto"/>
              <w:right w:val="outset" w:sz="6" w:space="0" w:color="auto"/>
            </w:tcBorders>
            <w:hideMark/>
          </w:tcPr>
          <w:p w14:paraId="7057CEE4"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12</w:t>
            </w:r>
          </w:p>
        </w:tc>
        <w:tc>
          <w:tcPr>
            <w:tcW w:w="0" w:type="auto"/>
            <w:tcBorders>
              <w:top w:val="outset" w:sz="6" w:space="0" w:color="auto"/>
              <w:left w:val="outset" w:sz="6" w:space="0" w:color="auto"/>
              <w:bottom w:val="outset" w:sz="6" w:space="0" w:color="auto"/>
              <w:right w:val="outset" w:sz="6" w:space="0" w:color="auto"/>
            </w:tcBorders>
            <w:hideMark/>
          </w:tcPr>
          <w:p w14:paraId="73A8F231"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8,485</w:t>
            </w:r>
          </w:p>
        </w:tc>
        <w:tc>
          <w:tcPr>
            <w:tcW w:w="0" w:type="auto"/>
            <w:tcBorders>
              <w:top w:val="outset" w:sz="6" w:space="0" w:color="auto"/>
              <w:left w:val="outset" w:sz="6" w:space="0" w:color="auto"/>
              <w:bottom w:val="outset" w:sz="6" w:space="0" w:color="auto"/>
              <w:right w:val="outset" w:sz="6" w:space="0" w:color="auto"/>
            </w:tcBorders>
            <w:hideMark/>
          </w:tcPr>
          <w:p w14:paraId="33603B43"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33,941</w:t>
            </w:r>
          </w:p>
        </w:tc>
        <w:tc>
          <w:tcPr>
            <w:tcW w:w="0" w:type="auto"/>
            <w:tcBorders>
              <w:top w:val="outset" w:sz="6" w:space="0" w:color="auto"/>
              <w:left w:val="outset" w:sz="6" w:space="0" w:color="auto"/>
              <w:bottom w:val="outset" w:sz="6" w:space="0" w:color="auto"/>
              <w:right w:val="outset" w:sz="6" w:space="0" w:color="auto"/>
            </w:tcBorders>
            <w:hideMark/>
          </w:tcPr>
          <w:p w14:paraId="0DCE3DC1"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24</w:t>
            </w:r>
          </w:p>
        </w:tc>
        <w:tc>
          <w:tcPr>
            <w:tcW w:w="0" w:type="auto"/>
            <w:tcBorders>
              <w:top w:val="outset" w:sz="6" w:space="0" w:color="auto"/>
              <w:left w:val="outset" w:sz="6" w:space="0" w:color="auto"/>
              <w:bottom w:val="outset" w:sz="6" w:space="0" w:color="auto"/>
              <w:right w:val="outset" w:sz="6" w:space="0" w:color="auto"/>
            </w:tcBorders>
            <w:hideMark/>
          </w:tcPr>
          <w:p w14:paraId="3C23C25F"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16,971</w:t>
            </w:r>
          </w:p>
        </w:tc>
      </w:tr>
      <w:tr w:rsidR="000B2CBE" w:rsidRPr="002D468A" w14:paraId="060F10F4" w14:textId="77777777" w:rsidTr="000773D3">
        <w:tblPrEx>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rPr>
          <w:jc w:val="center"/>
        </w:trPr>
        <w:tc>
          <w:tcPr>
            <w:tcW w:w="0" w:type="auto"/>
            <w:vMerge/>
            <w:tcBorders>
              <w:left w:val="outset" w:sz="6" w:space="0" w:color="auto"/>
              <w:bottom w:val="outset" w:sz="6" w:space="0" w:color="auto"/>
              <w:right w:val="outset" w:sz="6" w:space="0" w:color="auto"/>
            </w:tcBorders>
            <w:hideMark/>
          </w:tcPr>
          <w:p w14:paraId="53D93182" w14:textId="77777777" w:rsidR="004270DC" w:rsidRPr="002D468A" w:rsidRDefault="004270DC" w:rsidP="000773D3">
            <w:pPr>
              <w:spacing w:before="60" w:after="60" w:line="312" w:lineRule="atLeast"/>
              <w:jc w:val="both"/>
              <w:rPr>
                <w:color w:val="000000" w:themeColor="text1"/>
                <w:lang w:eastAsia="ro-MD"/>
              </w:rPr>
            </w:pPr>
          </w:p>
        </w:tc>
        <w:tc>
          <w:tcPr>
            <w:tcW w:w="0" w:type="auto"/>
            <w:tcBorders>
              <w:top w:val="outset" w:sz="6" w:space="0" w:color="auto"/>
              <w:left w:val="outset" w:sz="6" w:space="0" w:color="auto"/>
              <w:bottom w:val="outset" w:sz="6" w:space="0" w:color="auto"/>
              <w:right w:val="outset" w:sz="6" w:space="0" w:color="auto"/>
            </w:tcBorders>
            <w:hideMark/>
          </w:tcPr>
          <w:p w14:paraId="4E4D1DB8"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m &gt; 10</w:t>
            </w:r>
          </w:p>
        </w:tc>
        <w:tc>
          <w:tcPr>
            <w:tcW w:w="0" w:type="auto"/>
            <w:tcBorders>
              <w:top w:val="outset" w:sz="6" w:space="0" w:color="auto"/>
              <w:left w:val="outset" w:sz="6" w:space="0" w:color="auto"/>
              <w:bottom w:val="outset" w:sz="6" w:space="0" w:color="auto"/>
              <w:right w:val="outset" w:sz="6" w:space="0" w:color="auto"/>
            </w:tcBorders>
            <w:hideMark/>
          </w:tcPr>
          <w:p w14:paraId="7F79FF58"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8,485</w:t>
            </w:r>
          </w:p>
        </w:tc>
        <w:tc>
          <w:tcPr>
            <w:tcW w:w="0" w:type="auto"/>
            <w:tcBorders>
              <w:top w:val="outset" w:sz="6" w:space="0" w:color="auto"/>
              <w:left w:val="outset" w:sz="6" w:space="0" w:color="auto"/>
              <w:bottom w:val="outset" w:sz="6" w:space="0" w:color="auto"/>
              <w:right w:val="outset" w:sz="6" w:space="0" w:color="auto"/>
            </w:tcBorders>
            <w:hideMark/>
          </w:tcPr>
          <w:p w14:paraId="0645DB91"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6</w:t>
            </w:r>
          </w:p>
        </w:tc>
        <w:tc>
          <w:tcPr>
            <w:tcW w:w="0" w:type="auto"/>
            <w:tcBorders>
              <w:top w:val="outset" w:sz="6" w:space="0" w:color="auto"/>
              <w:left w:val="outset" w:sz="6" w:space="0" w:color="auto"/>
              <w:bottom w:val="outset" w:sz="6" w:space="0" w:color="auto"/>
              <w:right w:val="outset" w:sz="6" w:space="0" w:color="auto"/>
            </w:tcBorders>
            <w:hideMark/>
          </w:tcPr>
          <w:p w14:paraId="4105023F"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4,243</w:t>
            </w:r>
          </w:p>
        </w:tc>
        <w:tc>
          <w:tcPr>
            <w:tcW w:w="0" w:type="auto"/>
            <w:tcBorders>
              <w:top w:val="outset" w:sz="6" w:space="0" w:color="auto"/>
              <w:left w:val="outset" w:sz="6" w:space="0" w:color="auto"/>
              <w:bottom w:val="outset" w:sz="6" w:space="0" w:color="auto"/>
              <w:right w:val="outset" w:sz="6" w:space="0" w:color="auto"/>
            </w:tcBorders>
            <w:hideMark/>
          </w:tcPr>
          <w:p w14:paraId="78340A0B"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28,284</w:t>
            </w:r>
          </w:p>
        </w:tc>
        <w:tc>
          <w:tcPr>
            <w:tcW w:w="0" w:type="auto"/>
            <w:tcBorders>
              <w:top w:val="outset" w:sz="6" w:space="0" w:color="auto"/>
              <w:left w:val="outset" w:sz="6" w:space="0" w:color="auto"/>
              <w:bottom w:val="outset" w:sz="6" w:space="0" w:color="auto"/>
              <w:right w:val="outset" w:sz="6" w:space="0" w:color="auto"/>
            </w:tcBorders>
            <w:hideMark/>
          </w:tcPr>
          <w:p w14:paraId="7F723C0E"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20</w:t>
            </w:r>
          </w:p>
        </w:tc>
        <w:tc>
          <w:tcPr>
            <w:tcW w:w="0" w:type="auto"/>
            <w:tcBorders>
              <w:top w:val="outset" w:sz="6" w:space="0" w:color="auto"/>
              <w:left w:val="outset" w:sz="6" w:space="0" w:color="auto"/>
              <w:bottom w:val="outset" w:sz="6" w:space="0" w:color="auto"/>
              <w:right w:val="outset" w:sz="6" w:space="0" w:color="auto"/>
            </w:tcBorders>
            <w:hideMark/>
          </w:tcPr>
          <w:p w14:paraId="5C76F339"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14,142</w:t>
            </w:r>
          </w:p>
        </w:tc>
        <w:tc>
          <w:tcPr>
            <w:tcW w:w="0" w:type="auto"/>
            <w:tcBorders>
              <w:top w:val="outset" w:sz="6" w:space="0" w:color="auto"/>
              <w:left w:val="outset" w:sz="6" w:space="0" w:color="auto"/>
              <w:bottom w:val="outset" w:sz="6" w:space="0" w:color="auto"/>
              <w:right w:val="outset" w:sz="6" w:space="0" w:color="auto"/>
            </w:tcBorders>
            <w:hideMark/>
          </w:tcPr>
          <w:p w14:paraId="5A5DC193"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33,941</w:t>
            </w:r>
          </w:p>
        </w:tc>
        <w:tc>
          <w:tcPr>
            <w:tcW w:w="0" w:type="auto"/>
            <w:tcBorders>
              <w:top w:val="outset" w:sz="6" w:space="0" w:color="auto"/>
              <w:left w:val="outset" w:sz="6" w:space="0" w:color="auto"/>
              <w:bottom w:val="outset" w:sz="6" w:space="0" w:color="auto"/>
              <w:right w:val="outset" w:sz="6" w:space="0" w:color="auto"/>
            </w:tcBorders>
            <w:hideMark/>
          </w:tcPr>
          <w:p w14:paraId="59D80582"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24</w:t>
            </w:r>
          </w:p>
        </w:tc>
        <w:tc>
          <w:tcPr>
            <w:tcW w:w="0" w:type="auto"/>
            <w:tcBorders>
              <w:top w:val="outset" w:sz="6" w:space="0" w:color="auto"/>
              <w:left w:val="outset" w:sz="6" w:space="0" w:color="auto"/>
              <w:bottom w:val="outset" w:sz="6" w:space="0" w:color="auto"/>
              <w:right w:val="outset" w:sz="6" w:space="0" w:color="auto"/>
            </w:tcBorders>
            <w:hideMark/>
          </w:tcPr>
          <w:p w14:paraId="4F5835A6"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16,971</w:t>
            </w:r>
          </w:p>
        </w:tc>
      </w:tr>
      <w:tr w:rsidR="004270DC" w:rsidRPr="002D468A" w14:paraId="2182C5F2" w14:textId="77777777" w:rsidTr="000773D3">
        <w:tblPrEx>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rPr>
          <w:jc w:val="center"/>
        </w:trPr>
        <w:tc>
          <w:tcPr>
            <w:tcW w:w="0" w:type="auto"/>
            <w:tcBorders>
              <w:top w:val="outset" w:sz="6" w:space="0" w:color="auto"/>
              <w:left w:val="outset" w:sz="6" w:space="0" w:color="auto"/>
              <w:bottom w:val="outset" w:sz="6" w:space="0" w:color="auto"/>
              <w:right w:val="outset" w:sz="6" w:space="0" w:color="auto"/>
            </w:tcBorders>
            <w:hideMark/>
          </w:tcPr>
          <w:p w14:paraId="0B0A067C" w14:textId="77777777" w:rsidR="004270DC" w:rsidRPr="002D468A" w:rsidRDefault="004270DC" w:rsidP="000773D3">
            <w:pPr>
              <w:spacing w:line="312" w:lineRule="atLeast"/>
              <w:rPr>
                <w:color w:val="000000" w:themeColor="text1"/>
                <w:lang w:eastAsia="ro-MD"/>
              </w:rPr>
            </w:pPr>
            <w:r w:rsidRPr="002D468A">
              <w:rPr>
                <w:color w:val="000000" w:themeColor="text1"/>
                <w:lang w:eastAsia="ro-MD"/>
              </w:rPr>
              <w:t>4</w:t>
            </w:r>
          </w:p>
        </w:tc>
        <w:tc>
          <w:tcPr>
            <w:tcW w:w="0" w:type="auto"/>
            <w:tcBorders>
              <w:top w:val="outset" w:sz="6" w:space="0" w:color="auto"/>
              <w:left w:val="outset" w:sz="6" w:space="0" w:color="auto"/>
              <w:bottom w:val="outset" w:sz="6" w:space="0" w:color="auto"/>
              <w:right w:val="outset" w:sz="6" w:space="0" w:color="auto"/>
            </w:tcBorders>
            <w:hideMark/>
          </w:tcPr>
          <w:p w14:paraId="1AA76C1C" w14:textId="77777777" w:rsidR="004270DC" w:rsidRPr="002D468A" w:rsidRDefault="004270DC" w:rsidP="000773D3">
            <w:pPr>
              <w:spacing w:before="60" w:after="60" w:line="312" w:lineRule="atLeast"/>
              <w:jc w:val="both"/>
              <w:rPr>
                <w:color w:val="000000" w:themeColor="text1"/>
                <w:lang w:val="ro-RO" w:eastAsia="ro-MD"/>
              </w:rPr>
            </w:pPr>
            <w:r w:rsidRPr="002D468A">
              <w:rPr>
                <w:color w:val="000000" w:themeColor="text1"/>
                <w:lang w:val="ro-RO" w:eastAsia="ro-MD"/>
              </w:rPr>
              <w:t>toți</w:t>
            </w:r>
          </w:p>
        </w:tc>
        <w:tc>
          <w:tcPr>
            <w:tcW w:w="0" w:type="auto"/>
            <w:tcBorders>
              <w:top w:val="outset" w:sz="6" w:space="0" w:color="auto"/>
              <w:left w:val="outset" w:sz="6" w:space="0" w:color="auto"/>
              <w:bottom w:val="outset" w:sz="6" w:space="0" w:color="auto"/>
              <w:right w:val="outset" w:sz="6" w:space="0" w:color="auto"/>
            </w:tcBorders>
            <w:hideMark/>
          </w:tcPr>
          <w:p w14:paraId="23EB3654"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21,213</w:t>
            </w:r>
          </w:p>
        </w:tc>
        <w:tc>
          <w:tcPr>
            <w:tcW w:w="0" w:type="auto"/>
            <w:tcBorders>
              <w:top w:val="outset" w:sz="6" w:space="0" w:color="auto"/>
              <w:left w:val="outset" w:sz="6" w:space="0" w:color="auto"/>
              <w:bottom w:val="outset" w:sz="6" w:space="0" w:color="auto"/>
              <w:right w:val="outset" w:sz="6" w:space="0" w:color="auto"/>
            </w:tcBorders>
            <w:hideMark/>
          </w:tcPr>
          <w:p w14:paraId="11900B49"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15</w:t>
            </w:r>
          </w:p>
        </w:tc>
        <w:tc>
          <w:tcPr>
            <w:tcW w:w="0" w:type="auto"/>
            <w:tcBorders>
              <w:top w:val="outset" w:sz="6" w:space="0" w:color="auto"/>
              <w:left w:val="outset" w:sz="6" w:space="0" w:color="auto"/>
              <w:bottom w:val="outset" w:sz="6" w:space="0" w:color="auto"/>
              <w:right w:val="outset" w:sz="6" w:space="0" w:color="auto"/>
            </w:tcBorders>
            <w:hideMark/>
          </w:tcPr>
          <w:p w14:paraId="5E0DB008"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10,607</w:t>
            </w:r>
          </w:p>
        </w:tc>
        <w:tc>
          <w:tcPr>
            <w:tcW w:w="0" w:type="auto"/>
            <w:tcBorders>
              <w:top w:val="outset" w:sz="6" w:space="0" w:color="auto"/>
              <w:left w:val="outset" w:sz="6" w:space="0" w:color="auto"/>
              <w:bottom w:val="outset" w:sz="6" w:space="0" w:color="auto"/>
              <w:right w:val="outset" w:sz="6" w:space="0" w:color="auto"/>
            </w:tcBorders>
            <w:hideMark/>
          </w:tcPr>
          <w:p w14:paraId="4E270BCE"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N/A</w:t>
            </w:r>
          </w:p>
        </w:tc>
        <w:tc>
          <w:tcPr>
            <w:tcW w:w="0" w:type="auto"/>
            <w:tcBorders>
              <w:top w:val="outset" w:sz="6" w:space="0" w:color="auto"/>
              <w:left w:val="outset" w:sz="6" w:space="0" w:color="auto"/>
              <w:bottom w:val="outset" w:sz="6" w:space="0" w:color="auto"/>
              <w:right w:val="outset" w:sz="6" w:space="0" w:color="auto"/>
            </w:tcBorders>
            <w:hideMark/>
          </w:tcPr>
          <w:p w14:paraId="4AFCC310"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N/A</w:t>
            </w:r>
          </w:p>
        </w:tc>
        <w:tc>
          <w:tcPr>
            <w:tcW w:w="0" w:type="auto"/>
            <w:tcBorders>
              <w:top w:val="outset" w:sz="6" w:space="0" w:color="auto"/>
              <w:left w:val="outset" w:sz="6" w:space="0" w:color="auto"/>
              <w:bottom w:val="outset" w:sz="6" w:space="0" w:color="auto"/>
              <w:right w:val="outset" w:sz="6" w:space="0" w:color="auto"/>
            </w:tcBorders>
            <w:hideMark/>
          </w:tcPr>
          <w:p w14:paraId="5DD425DC"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N/A</w:t>
            </w:r>
          </w:p>
        </w:tc>
        <w:tc>
          <w:tcPr>
            <w:tcW w:w="0" w:type="auto"/>
            <w:tcBorders>
              <w:top w:val="outset" w:sz="6" w:space="0" w:color="auto"/>
              <w:left w:val="outset" w:sz="6" w:space="0" w:color="auto"/>
              <w:bottom w:val="outset" w:sz="6" w:space="0" w:color="auto"/>
              <w:right w:val="outset" w:sz="6" w:space="0" w:color="auto"/>
            </w:tcBorders>
            <w:hideMark/>
          </w:tcPr>
          <w:p w14:paraId="2EBD5C17"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N/A</w:t>
            </w:r>
          </w:p>
        </w:tc>
        <w:tc>
          <w:tcPr>
            <w:tcW w:w="0" w:type="auto"/>
            <w:tcBorders>
              <w:top w:val="outset" w:sz="6" w:space="0" w:color="auto"/>
              <w:left w:val="outset" w:sz="6" w:space="0" w:color="auto"/>
              <w:bottom w:val="outset" w:sz="6" w:space="0" w:color="auto"/>
              <w:right w:val="outset" w:sz="6" w:space="0" w:color="auto"/>
            </w:tcBorders>
            <w:hideMark/>
          </w:tcPr>
          <w:p w14:paraId="318298CD"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N/A</w:t>
            </w:r>
          </w:p>
        </w:tc>
        <w:tc>
          <w:tcPr>
            <w:tcW w:w="0" w:type="auto"/>
            <w:tcBorders>
              <w:top w:val="outset" w:sz="6" w:space="0" w:color="auto"/>
              <w:left w:val="outset" w:sz="6" w:space="0" w:color="auto"/>
              <w:bottom w:val="outset" w:sz="6" w:space="0" w:color="auto"/>
              <w:right w:val="outset" w:sz="6" w:space="0" w:color="auto"/>
            </w:tcBorders>
            <w:hideMark/>
          </w:tcPr>
          <w:p w14:paraId="7A2CBE05" w14:textId="77777777" w:rsidR="004270DC" w:rsidRPr="002D468A" w:rsidRDefault="004270DC" w:rsidP="000773D3">
            <w:pPr>
              <w:spacing w:before="60" w:after="60" w:line="312" w:lineRule="atLeast"/>
              <w:jc w:val="both"/>
              <w:rPr>
                <w:color w:val="000000" w:themeColor="text1"/>
                <w:lang w:eastAsia="ro-MD"/>
              </w:rPr>
            </w:pPr>
            <w:r w:rsidRPr="002D468A">
              <w:rPr>
                <w:color w:val="000000" w:themeColor="text1"/>
                <w:lang w:eastAsia="ro-MD"/>
              </w:rPr>
              <w:t>N/A</w:t>
            </w:r>
          </w:p>
        </w:tc>
      </w:tr>
    </w:tbl>
    <w:p w14:paraId="31A65BA7" w14:textId="30F09FC5" w:rsidR="004270DC" w:rsidRDefault="004270DC" w:rsidP="004270DC">
      <w:pPr>
        <w:tabs>
          <w:tab w:val="left" w:pos="567"/>
        </w:tabs>
        <w:spacing w:before="80"/>
        <w:jc w:val="both"/>
        <w:rPr>
          <w:color w:val="000000" w:themeColor="text1"/>
          <w:lang w:val="ro-MD"/>
        </w:rPr>
      </w:pPr>
    </w:p>
    <w:p w14:paraId="6F4E6991" w14:textId="77777777" w:rsidR="0047035C" w:rsidRPr="002D468A" w:rsidRDefault="0047035C" w:rsidP="004270DC">
      <w:pPr>
        <w:tabs>
          <w:tab w:val="left" w:pos="567"/>
        </w:tabs>
        <w:spacing w:before="80"/>
        <w:jc w:val="both"/>
        <w:rPr>
          <w:color w:val="000000" w:themeColor="text1"/>
          <w:lang w:val="ro-MD"/>
        </w:rPr>
      </w:pPr>
    </w:p>
    <w:p w14:paraId="2C6F6F41" w14:textId="4A20D5FF" w:rsidR="008A1582" w:rsidRPr="002D468A" w:rsidRDefault="008A1582" w:rsidP="00CB36D2">
      <w:pPr>
        <w:pStyle w:val="ListParagraph"/>
        <w:numPr>
          <w:ilvl w:val="2"/>
          <w:numId w:val="27"/>
        </w:numPr>
        <w:tabs>
          <w:tab w:val="left" w:pos="567"/>
        </w:tabs>
        <w:spacing w:before="80"/>
        <w:ind w:left="0" w:firstLine="567"/>
        <w:contextualSpacing w:val="0"/>
        <w:jc w:val="both"/>
        <w:rPr>
          <w:color w:val="000000" w:themeColor="text1"/>
          <w:lang w:val="ro-MD"/>
        </w:rPr>
      </w:pPr>
      <w:r w:rsidRPr="002D468A">
        <w:rPr>
          <w:color w:val="000000" w:themeColor="text1"/>
          <w:lang w:val="ro-MD"/>
        </w:rPr>
        <w:t>Tabelul nr.2 se completează cu o nouă coloană, cu următorul cuprins:</w:t>
      </w:r>
    </w:p>
    <w:p w14:paraId="4ADD340B" w14:textId="2E89A482" w:rsidR="0079290C" w:rsidRPr="002D468A" w:rsidRDefault="0079290C" w:rsidP="0079290C">
      <w:pPr>
        <w:tabs>
          <w:tab w:val="left" w:pos="567"/>
        </w:tabs>
        <w:spacing w:before="80"/>
        <w:jc w:val="both"/>
        <w:rPr>
          <w:color w:val="000000" w:themeColor="text1"/>
          <w:lang w:val="ro-MD"/>
        </w:rPr>
      </w:pPr>
    </w:p>
    <w:tbl>
      <w:tblPr>
        <w:tblW w:w="6276"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78"/>
        <w:gridCol w:w="2070"/>
        <w:gridCol w:w="2028"/>
      </w:tblGrid>
      <w:tr w:rsidR="000B2CBE" w:rsidRPr="002D468A" w14:paraId="798DB836" w14:textId="77777777" w:rsidTr="0079290C">
        <w:trPr>
          <w:trHeight w:val="962"/>
          <w:jc w:val="center"/>
        </w:trPr>
        <w:tc>
          <w:tcPr>
            <w:tcW w:w="0" w:type="auto"/>
            <w:gridSpan w:val="3"/>
            <w:tcBorders>
              <w:top w:val="outset" w:sz="6" w:space="0" w:color="auto"/>
              <w:left w:val="outset" w:sz="6" w:space="0" w:color="auto"/>
              <w:bottom w:val="outset" w:sz="6" w:space="0" w:color="auto"/>
              <w:right w:val="outset" w:sz="6" w:space="0" w:color="auto"/>
            </w:tcBorders>
            <w:hideMark/>
          </w:tcPr>
          <w:p w14:paraId="2322651C" w14:textId="77777777" w:rsidR="0079290C" w:rsidRPr="002D468A" w:rsidRDefault="0079290C" w:rsidP="000773D3">
            <w:pPr>
              <w:spacing w:before="60" w:after="60" w:line="312" w:lineRule="atLeast"/>
              <w:jc w:val="both"/>
              <w:rPr>
                <w:b/>
                <w:bCs/>
                <w:color w:val="000000" w:themeColor="text1"/>
                <w:lang w:val="ro-RO" w:eastAsia="ro-MD"/>
              </w:rPr>
            </w:pPr>
            <w:r w:rsidRPr="002D468A">
              <w:rPr>
                <w:b/>
                <w:bCs/>
                <w:color w:val="000000" w:themeColor="text1"/>
                <w:lang w:val="ro-RO" w:eastAsia="ro-MD"/>
              </w:rPr>
              <w:t>Ajustările de volatilitate pentru pozițiile din securitizare care îndeplinesc criteriile stabilite la punctul 25 subpunctul 9)  pentru care s-au efectuat evaluări de credit pe termen scurt</w:t>
            </w:r>
          </w:p>
        </w:tc>
      </w:tr>
      <w:tr w:rsidR="000B2CBE" w:rsidRPr="002D468A" w14:paraId="024ECF77" w14:textId="77777777" w:rsidTr="0079290C">
        <w:trPr>
          <w:trHeight w:val="1104"/>
          <w:jc w:val="center"/>
        </w:trPr>
        <w:tc>
          <w:tcPr>
            <w:tcW w:w="0" w:type="auto"/>
            <w:tcBorders>
              <w:top w:val="outset" w:sz="6" w:space="0" w:color="auto"/>
              <w:left w:val="outset" w:sz="6" w:space="0" w:color="auto"/>
              <w:bottom w:val="outset" w:sz="6" w:space="0" w:color="auto"/>
              <w:right w:val="outset" w:sz="6" w:space="0" w:color="auto"/>
            </w:tcBorders>
          </w:tcPr>
          <w:p w14:paraId="4CE0F60A" w14:textId="77777777" w:rsidR="0079290C" w:rsidRPr="002D468A" w:rsidRDefault="0079290C" w:rsidP="000773D3">
            <w:pPr>
              <w:spacing w:before="60" w:after="60" w:line="312" w:lineRule="atLeast"/>
              <w:jc w:val="both"/>
              <w:rPr>
                <w:b/>
                <w:bCs/>
                <w:color w:val="000000" w:themeColor="text1"/>
                <w:lang w:val="ro-RO" w:eastAsia="ro-MD"/>
              </w:rPr>
            </w:pPr>
            <w:r w:rsidRPr="002D468A">
              <w:rPr>
                <w:b/>
                <w:bCs/>
                <w:color w:val="000000" w:themeColor="text1"/>
                <w:lang w:val="ro-RO" w:eastAsia="ro-MD"/>
              </w:rPr>
              <w:t>Perioadă de deținere de 20 de zile (%)</w:t>
            </w:r>
          </w:p>
        </w:tc>
        <w:tc>
          <w:tcPr>
            <w:tcW w:w="0" w:type="auto"/>
            <w:tcBorders>
              <w:top w:val="outset" w:sz="6" w:space="0" w:color="auto"/>
              <w:left w:val="outset" w:sz="6" w:space="0" w:color="auto"/>
              <w:bottom w:val="outset" w:sz="6" w:space="0" w:color="auto"/>
              <w:right w:val="outset" w:sz="6" w:space="0" w:color="auto"/>
            </w:tcBorders>
          </w:tcPr>
          <w:p w14:paraId="6D4BB260" w14:textId="77777777" w:rsidR="0079290C" w:rsidRPr="002D468A" w:rsidRDefault="0079290C" w:rsidP="000773D3">
            <w:pPr>
              <w:spacing w:before="60" w:after="60" w:line="312" w:lineRule="atLeast"/>
              <w:jc w:val="both"/>
              <w:rPr>
                <w:b/>
                <w:bCs/>
                <w:color w:val="000000" w:themeColor="text1"/>
                <w:lang w:val="ro-RO" w:eastAsia="ro-MD"/>
              </w:rPr>
            </w:pPr>
            <w:r w:rsidRPr="002D468A">
              <w:rPr>
                <w:b/>
                <w:bCs/>
                <w:color w:val="000000" w:themeColor="text1"/>
                <w:lang w:val="ro-RO" w:eastAsia="ro-MD"/>
              </w:rPr>
              <w:t>Perioadă de deținere de 10 zile (%)</w:t>
            </w:r>
          </w:p>
        </w:tc>
        <w:tc>
          <w:tcPr>
            <w:tcW w:w="0" w:type="auto"/>
            <w:tcBorders>
              <w:top w:val="outset" w:sz="6" w:space="0" w:color="auto"/>
              <w:left w:val="outset" w:sz="6" w:space="0" w:color="auto"/>
              <w:bottom w:val="outset" w:sz="6" w:space="0" w:color="auto"/>
              <w:right w:val="outset" w:sz="6" w:space="0" w:color="auto"/>
            </w:tcBorders>
          </w:tcPr>
          <w:p w14:paraId="0C06F76D" w14:textId="77777777" w:rsidR="0079290C" w:rsidRPr="002D468A" w:rsidRDefault="0079290C" w:rsidP="000773D3">
            <w:pPr>
              <w:spacing w:before="60" w:after="60" w:line="312" w:lineRule="atLeast"/>
              <w:jc w:val="both"/>
              <w:rPr>
                <w:b/>
                <w:bCs/>
                <w:color w:val="000000" w:themeColor="text1"/>
                <w:lang w:val="ro-RO" w:eastAsia="ro-MD"/>
              </w:rPr>
            </w:pPr>
            <w:r w:rsidRPr="002D468A">
              <w:rPr>
                <w:b/>
                <w:bCs/>
                <w:color w:val="000000" w:themeColor="text1"/>
                <w:lang w:val="ro-RO" w:eastAsia="ro-MD"/>
              </w:rPr>
              <w:t>Perioadă de deținere de 5 zile (%)</w:t>
            </w:r>
          </w:p>
        </w:tc>
      </w:tr>
      <w:tr w:rsidR="000B2CBE" w:rsidRPr="002D468A" w14:paraId="7A585FAA" w14:textId="77777777" w:rsidTr="0079290C">
        <w:trPr>
          <w:trHeight w:val="395"/>
          <w:jc w:val="center"/>
        </w:trPr>
        <w:tc>
          <w:tcPr>
            <w:tcW w:w="0" w:type="auto"/>
            <w:tcBorders>
              <w:top w:val="outset" w:sz="6" w:space="0" w:color="auto"/>
              <w:left w:val="outset" w:sz="6" w:space="0" w:color="auto"/>
              <w:bottom w:val="outset" w:sz="6" w:space="0" w:color="auto"/>
              <w:right w:val="outset" w:sz="6" w:space="0" w:color="auto"/>
            </w:tcBorders>
          </w:tcPr>
          <w:p w14:paraId="2479CAEB" w14:textId="77777777" w:rsidR="0079290C" w:rsidRPr="002D468A" w:rsidRDefault="0079290C" w:rsidP="000773D3">
            <w:pPr>
              <w:spacing w:before="60" w:after="60" w:line="312" w:lineRule="atLeast"/>
              <w:jc w:val="both"/>
              <w:rPr>
                <w:color w:val="000000" w:themeColor="text1"/>
                <w:lang w:eastAsia="ro-MD"/>
              </w:rPr>
            </w:pPr>
            <w:r w:rsidRPr="002D468A">
              <w:rPr>
                <w:color w:val="000000" w:themeColor="text1"/>
                <w:lang w:eastAsia="ro-MD"/>
              </w:rPr>
              <w:lastRenderedPageBreak/>
              <w:t>2,828</w:t>
            </w:r>
          </w:p>
        </w:tc>
        <w:tc>
          <w:tcPr>
            <w:tcW w:w="0" w:type="auto"/>
            <w:tcBorders>
              <w:top w:val="outset" w:sz="6" w:space="0" w:color="auto"/>
              <w:left w:val="outset" w:sz="6" w:space="0" w:color="auto"/>
              <w:bottom w:val="outset" w:sz="6" w:space="0" w:color="auto"/>
              <w:right w:val="outset" w:sz="6" w:space="0" w:color="auto"/>
            </w:tcBorders>
          </w:tcPr>
          <w:p w14:paraId="6F6A662C" w14:textId="77777777" w:rsidR="0079290C" w:rsidRPr="002D468A" w:rsidRDefault="0079290C" w:rsidP="000773D3">
            <w:pPr>
              <w:spacing w:before="60" w:after="60" w:line="312" w:lineRule="atLeast"/>
              <w:jc w:val="both"/>
              <w:rPr>
                <w:color w:val="000000" w:themeColor="text1"/>
                <w:lang w:eastAsia="ro-MD"/>
              </w:rPr>
            </w:pPr>
            <w:r w:rsidRPr="002D468A">
              <w:rPr>
                <w:color w:val="000000" w:themeColor="text1"/>
                <w:lang w:eastAsia="ro-MD"/>
              </w:rPr>
              <w:t>2</w:t>
            </w:r>
          </w:p>
        </w:tc>
        <w:tc>
          <w:tcPr>
            <w:tcW w:w="0" w:type="auto"/>
            <w:tcBorders>
              <w:top w:val="outset" w:sz="6" w:space="0" w:color="auto"/>
              <w:left w:val="outset" w:sz="6" w:space="0" w:color="auto"/>
              <w:bottom w:val="outset" w:sz="6" w:space="0" w:color="auto"/>
              <w:right w:val="outset" w:sz="6" w:space="0" w:color="auto"/>
            </w:tcBorders>
          </w:tcPr>
          <w:p w14:paraId="5FDE9DCB" w14:textId="77777777" w:rsidR="0079290C" w:rsidRPr="002D468A" w:rsidRDefault="0079290C" w:rsidP="000773D3">
            <w:pPr>
              <w:spacing w:before="60" w:after="60" w:line="312" w:lineRule="atLeast"/>
              <w:jc w:val="both"/>
              <w:rPr>
                <w:color w:val="000000" w:themeColor="text1"/>
                <w:lang w:eastAsia="ro-MD"/>
              </w:rPr>
            </w:pPr>
            <w:r w:rsidRPr="002D468A">
              <w:rPr>
                <w:color w:val="000000" w:themeColor="text1"/>
                <w:lang w:eastAsia="ro-MD"/>
              </w:rPr>
              <w:t>1,414</w:t>
            </w:r>
          </w:p>
        </w:tc>
      </w:tr>
      <w:tr w:rsidR="0079290C" w:rsidRPr="002D468A" w14:paraId="7B977511" w14:textId="77777777" w:rsidTr="0079290C">
        <w:trPr>
          <w:trHeight w:val="459"/>
          <w:jc w:val="center"/>
        </w:trPr>
        <w:tc>
          <w:tcPr>
            <w:tcW w:w="0" w:type="auto"/>
            <w:tcBorders>
              <w:top w:val="outset" w:sz="6" w:space="0" w:color="auto"/>
              <w:left w:val="outset" w:sz="6" w:space="0" w:color="auto"/>
              <w:bottom w:val="outset" w:sz="6" w:space="0" w:color="auto"/>
              <w:right w:val="outset" w:sz="6" w:space="0" w:color="auto"/>
            </w:tcBorders>
          </w:tcPr>
          <w:p w14:paraId="2B5B04AE" w14:textId="77777777" w:rsidR="0079290C" w:rsidRPr="002D468A" w:rsidRDefault="0079290C" w:rsidP="000773D3">
            <w:pPr>
              <w:spacing w:before="60" w:after="60" w:line="312" w:lineRule="atLeast"/>
              <w:jc w:val="both"/>
              <w:rPr>
                <w:color w:val="000000" w:themeColor="text1"/>
                <w:lang w:eastAsia="ro-MD"/>
              </w:rPr>
            </w:pPr>
            <w:r w:rsidRPr="002D468A">
              <w:rPr>
                <w:color w:val="000000" w:themeColor="text1"/>
                <w:lang w:eastAsia="ro-MD"/>
              </w:rPr>
              <w:t>5,657</w:t>
            </w:r>
          </w:p>
        </w:tc>
        <w:tc>
          <w:tcPr>
            <w:tcW w:w="0" w:type="auto"/>
            <w:tcBorders>
              <w:top w:val="outset" w:sz="6" w:space="0" w:color="auto"/>
              <w:left w:val="outset" w:sz="6" w:space="0" w:color="auto"/>
              <w:bottom w:val="outset" w:sz="6" w:space="0" w:color="auto"/>
              <w:right w:val="outset" w:sz="6" w:space="0" w:color="auto"/>
            </w:tcBorders>
          </w:tcPr>
          <w:p w14:paraId="5DCF4DDE" w14:textId="77777777" w:rsidR="0079290C" w:rsidRPr="002D468A" w:rsidRDefault="0079290C" w:rsidP="000773D3">
            <w:pPr>
              <w:spacing w:before="60" w:after="60" w:line="312" w:lineRule="atLeast"/>
              <w:jc w:val="both"/>
              <w:rPr>
                <w:color w:val="000000" w:themeColor="text1"/>
                <w:lang w:eastAsia="ro-MD"/>
              </w:rPr>
            </w:pPr>
            <w:r w:rsidRPr="002D468A">
              <w:rPr>
                <w:color w:val="000000" w:themeColor="text1"/>
                <w:lang w:eastAsia="ro-MD"/>
              </w:rPr>
              <w:t>4</w:t>
            </w:r>
          </w:p>
        </w:tc>
        <w:tc>
          <w:tcPr>
            <w:tcW w:w="0" w:type="auto"/>
            <w:tcBorders>
              <w:top w:val="outset" w:sz="6" w:space="0" w:color="auto"/>
              <w:left w:val="outset" w:sz="6" w:space="0" w:color="auto"/>
              <w:bottom w:val="outset" w:sz="6" w:space="0" w:color="auto"/>
              <w:right w:val="outset" w:sz="6" w:space="0" w:color="auto"/>
            </w:tcBorders>
          </w:tcPr>
          <w:p w14:paraId="74EB2280" w14:textId="77777777" w:rsidR="0079290C" w:rsidRPr="002D468A" w:rsidRDefault="0079290C" w:rsidP="000773D3">
            <w:pPr>
              <w:spacing w:before="60" w:after="60" w:line="312" w:lineRule="atLeast"/>
              <w:jc w:val="both"/>
              <w:rPr>
                <w:color w:val="000000" w:themeColor="text1"/>
                <w:lang w:eastAsia="ro-MD"/>
              </w:rPr>
            </w:pPr>
            <w:r w:rsidRPr="002D468A">
              <w:rPr>
                <w:color w:val="000000" w:themeColor="text1"/>
                <w:lang w:eastAsia="ro-MD"/>
              </w:rPr>
              <w:t>2,828</w:t>
            </w:r>
          </w:p>
        </w:tc>
      </w:tr>
    </w:tbl>
    <w:p w14:paraId="21C4E9BE" w14:textId="7F3EFD55" w:rsidR="0079290C" w:rsidRDefault="0079290C" w:rsidP="0079290C">
      <w:pPr>
        <w:tabs>
          <w:tab w:val="left" w:pos="567"/>
        </w:tabs>
        <w:spacing w:before="80"/>
        <w:jc w:val="both"/>
        <w:rPr>
          <w:color w:val="000000" w:themeColor="text1"/>
          <w:lang w:val="ro-MD"/>
        </w:rPr>
      </w:pPr>
    </w:p>
    <w:p w14:paraId="38D1C249" w14:textId="77777777" w:rsidR="0047035C" w:rsidRDefault="0047035C" w:rsidP="0079290C">
      <w:pPr>
        <w:tabs>
          <w:tab w:val="left" w:pos="567"/>
        </w:tabs>
        <w:spacing w:before="80"/>
        <w:jc w:val="both"/>
        <w:rPr>
          <w:color w:val="000000" w:themeColor="text1"/>
          <w:lang w:val="ro-MD"/>
        </w:rPr>
      </w:pPr>
    </w:p>
    <w:p w14:paraId="7F9FFCCD" w14:textId="576D766D" w:rsidR="008A1582" w:rsidRPr="002D468A" w:rsidRDefault="008A1582" w:rsidP="00CB36D2">
      <w:pPr>
        <w:pStyle w:val="ListParagraph"/>
        <w:numPr>
          <w:ilvl w:val="2"/>
          <w:numId w:val="27"/>
        </w:numPr>
        <w:tabs>
          <w:tab w:val="left" w:pos="0"/>
        </w:tabs>
        <w:spacing w:before="80"/>
        <w:ind w:left="0" w:firstLine="567"/>
        <w:contextualSpacing w:val="0"/>
        <w:jc w:val="both"/>
        <w:rPr>
          <w:color w:val="000000" w:themeColor="text1"/>
          <w:lang w:val="ro-MD"/>
        </w:rPr>
      </w:pPr>
      <w:r w:rsidRPr="002D468A">
        <w:rPr>
          <w:color w:val="000000" w:themeColor="text1"/>
          <w:lang w:val="ro-MD"/>
        </w:rPr>
        <w:t>Tabelul nr.3 va avea următorul cuprins:</w:t>
      </w:r>
    </w:p>
    <w:p w14:paraId="0C8402A4" w14:textId="1F7AEF53" w:rsidR="00BB2430" w:rsidRPr="002D468A" w:rsidRDefault="00BB2430" w:rsidP="00BB2430">
      <w:pPr>
        <w:tabs>
          <w:tab w:val="left" w:pos="567"/>
        </w:tabs>
        <w:spacing w:before="80"/>
        <w:jc w:val="both"/>
        <w:rPr>
          <w:color w:val="000000" w:themeColor="text1"/>
          <w:lang w:val="ro-MD"/>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1844"/>
        <w:gridCol w:w="2009"/>
        <w:gridCol w:w="2009"/>
        <w:gridCol w:w="1889"/>
      </w:tblGrid>
      <w:tr w:rsidR="000B2CBE" w:rsidRPr="002D468A" w14:paraId="24D1C5A5" w14:textId="77777777" w:rsidTr="000773D3">
        <w:trPr>
          <w:jc w:val="center"/>
        </w:trPr>
        <w:tc>
          <w:tcPr>
            <w:tcW w:w="0" w:type="auto"/>
            <w:gridSpan w:val="4"/>
            <w:tcBorders>
              <w:top w:val="nil"/>
              <w:left w:val="nil"/>
              <w:bottom w:val="single" w:sz="6" w:space="0" w:color="000000"/>
              <w:right w:val="nil"/>
            </w:tcBorders>
            <w:tcMar>
              <w:top w:w="24" w:type="dxa"/>
              <w:left w:w="48" w:type="dxa"/>
              <w:bottom w:w="24" w:type="dxa"/>
              <w:right w:w="48" w:type="dxa"/>
            </w:tcMar>
            <w:hideMark/>
          </w:tcPr>
          <w:p w14:paraId="3F660D58" w14:textId="7178E82A" w:rsidR="00BB2430" w:rsidRPr="002D468A" w:rsidRDefault="00BB2430" w:rsidP="0047035C">
            <w:pPr>
              <w:spacing w:after="120"/>
              <w:jc w:val="right"/>
              <w:rPr>
                <w:color w:val="000000" w:themeColor="text1"/>
                <w:lang w:val="ro-RO" w:eastAsia="ro-MD"/>
              </w:rPr>
            </w:pPr>
            <w:r w:rsidRPr="002D468A">
              <w:rPr>
                <w:b/>
                <w:bCs/>
                <w:color w:val="000000" w:themeColor="text1"/>
                <w:lang w:val="ro-RO" w:eastAsia="ro-MD"/>
              </w:rPr>
              <w:t>„Tabelul nr.3</w:t>
            </w:r>
          </w:p>
          <w:p w14:paraId="20408CF0" w14:textId="1678DD92" w:rsidR="00BB2430" w:rsidRPr="002D468A" w:rsidRDefault="00BB2430" w:rsidP="0047035C">
            <w:pPr>
              <w:ind w:firstLine="567"/>
              <w:jc w:val="center"/>
              <w:rPr>
                <w:b/>
                <w:bCs/>
                <w:color w:val="000000" w:themeColor="text1"/>
                <w:lang w:val="ro-RO" w:eastAsia="ro-MD"/>
              </w:rPr>
            </w:pPr>
            <w:r w:rsidRPr="002D468A">
              <w:rPr>
                <w:b/>
                <w:bCs/>
                <w:color w:val="000000" w:themeColor="text1"/>
                <w:lang w:val="ro-RO" w:eastAsia="ro-MD"/>
              </w:rPr>
              <w:t>Alte tipuri de garanții reale sau de expuneri</w:t>
            </w:r>
          </w:p>
          <w:p w14:paraId="676B9220" w14:textId="77777777" w:rsidR="00BB2430" w:rsidRPr="002D468A" w:rsidRDefault="00BB2430" w:rsidP="000773D3">
            <w:pPr>
              <w:ind w:firstLine="567"/>
              <w:jc w:val="both"/>
              <w:rPr>
                <w:color w:val="000000" w:themeColor="text1"/>
                <w:lang w:val="ro-RO" w:eastAsia="ro-MD"/>
              </w:rPr>
            </w:pPr>
            <w:r w:rsidRPr="002D468A">
              <w:rPr>
                <w:color w:val="000000" w:themeColor="text1"/>
                <w:lang w:val="ro-RO" w:eastAsia="ro-MD"/>
              </w:rPr>
              <w:t> </w:t>
            </w:r>
          </w:p>
        </w:tc>
      </w:tr>
      <w:tr w:rsidR="000B2CBE" w:rsidRPr="002D468A" w14:paraId="2076267B" w14:textId="77777777" w:rsidTr="000773D3">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E9813A0" w14:textId="77777777" w:rsidR="00BB2430" w:rsidRPr="002D468A" w:rsidRDefault="00BB2430" w:rsidP="000773D3">
            <w:pPr>
              <w:jc w:val="center"/>
              <w:rPr>
                <w:b/>
                <w:bCs/>
                <w:color w:val="000000" w:themeColor="text1"/>
                <w:lang w:val="ro-RO" w:eastAsia="ro-MD"/>
              </w:rPr>
            </w:pPr>
            <w:r w:rsidRPr="002D468A">
              <w:rPr>
                <w:b/>
                <w:bCs/>
                <w:color w:val="000000" w:themeColor="text1"/>
                <w:lang w:val="ro-RO" w:eastAsia="ro-MD"/>
              </w:rPr>
              <w:t>Tipuri de garanții reale</w:t>
            </w:r>
          </w:p>
        </w:tc>
        <w:tc>
          <w:tcPr>
            <w:tcW w:w="0" w:type="auto"/>
            <w:tcBorders>
              <w:top w:val="single" w:sz="6" w:space="0" w:color="000000"/>
              <w:left w:val="single" w:sz="6" w:space="0" w:color="000000"/>
              <w:bottom w:val="single" w:sz="6" w:space="0" w:color="000000"/>
              <w:right w:val="single" w:sz="6" w:space="0" w:color="000000"/>
            </w:tcBorders>
            <w:shd w:val="clear" w:color="auto" w:fill="F0F0F0"/>
            <w:noWrap/>
            <w:tcMar>
              <w:top w:w="24" w:type="dxa"/>
              <w:left w:w="48" w:type="dxa"/>
              <w:bottom w:w="24" w:type="dxa"/>
              <w:right w:w="48" w:type="dxa"/>
            </w:tcMar>
            <w:hideMark/>
          </w:tcPr>
          <w:p w14:paraId="4B359BF1" w14:textId="77777777" w:rsidR="00BB2430" w:rsidRPr="002D468A" w:rsidRDefault="00BB2430" w:rsidP="000773D3">
            <w:pPr>
              <w:jc w:val="center"/>
              <w:rPr>
                <w:b/>
                <w:bCs/>
                <w:color w:val="000000" w:themeColor="text1"/>
                <w:lang w:val="ro-RO" w:eastAsia="ro-MD"/>
              </w:rPr>
            </w:pPr>
            <w:r w:rsidRPr="002D468A">
              <w:rPr>
                <w:b/>
                <w:bCs/>
                <w:color w:val="000000" w:themeColor="text1"/>
                <w:lang w:val="ro-RO" w:eastAsia="ro-MD"/>
              </w:rPr>
              <w:t>Perioadă de</w:t>
            </w:r>
            <w:r w:rsidRPr="002D468A">
              <w:rPr>
                <w:b/>
                <w:bCs/>
                <w:color w:val="000000" w:themeColor="text1"/>
                <w:lang w:val="ro-RO" w:eastAsia="ro-MD"/>
              </w:rPr>
              <w:br/>
              <w:t>lichidare de 20 zile</w:t>
            </w:r>
            <w:r w:rsidRPr="002D468A">
              <w:rPr>
                <w:b/>
                <w:bCs/>
                <w:color w:val="000000" w:themeColor="text1"/>
                <w:lang w:val="ro-RO" w:eastAsia="ro-MD"/>
              </w:rPr>
              <w:br/>
              <w:t>lucrătoare (%)</w:t>
            </w:r>
          </w:p>
        </w:tc>
        <w:tc>
          <w:tcPr>
            <w:tcW w:w="0" w:type="auto"/>
            <w:tcBorders>
              <w:top w:val="single" w:sz="6" w:space="0" w:color="000000"/>
              <w:left w:val="single" w:sz="6" w:space="0" w:color="000000"/>
              <w:bottom w:val="single" w:sz="6" w:space="0" w:color="000000"/>
              <w:right w:val="single" w:sz="6" w:space="0" w:color="000000"/>
            </w:tcBorders>
            <w:shd w:val="clear" w:color="auto" w:fill="F0F0F0"/>
            <w:noWrap/>
            <w:tcMar>
              <w:top w:w="24" w:type="dxa"/>
              <w:left w:w="48" w:type="dxa"/>
              <w:bottom w:w="24" w:type="dxa"/>
              <w:right w:w="48" w:type="dxa"/>
            </w:tcMar>
            <w:hideMark/>
          </w:tcPr>
          <w:p w14:paraId="62AC5CF1" w14:textId="77777777" w:rsidR="00BB2430" w:rsidRPr="002D468A" w:rsidRDefault="00BB2430" w:rsidP="000773D3">
            <w:pPr>
              <w:jc w:val="center"/>
              <w:rPr>
                <w:b/>
                <w:bCs/>
                <w:color w:val="000000" w:themeColor="text1"/>
                <w:lang w:val="ro-RO" w:eastAsia="ro-MD"/>
              </w:rPr>
            </w:pPr>
            <w:r w:rsidRPr="002D468A">
              <w:rPr>
                <w:b/>
                <w:bCs/>
                <w:color w:val="000000" w:themeColor="text1"/>
                <w:lang w:val="ro-RO" w:eastAsia="ro-MD"/>
              </w:rPr>
              <w:t>Perioadă de</w:t>
            </w:r>
            <w:r w:rsidRPr="002D468A">
              <w:rPr>
                <w:b/>
                <w:bCs/>
                <w:color w:val="000000" w:themeColor="text1"/>
                <w:lang w:val="ro-RO" w:eastAsia="ro-MD"/>
              </w:rPr>
              <w:br/>
              <w:t>lichidare de 10 zile</w:t>
            </w:r>
            <w:r w:rsidRPr="002D468A">
              <w:rPr>
                <w:b/>
                <w:bCs/>
                <w:color w:val="000000" w:themeColor="text1"/>
                <w:lang w:val="ro-RO" w:eastAsia="ro-MD"/>
              </w:rPr>
              <w:br/>
              <w:t>lucrătoare (%)</w:t>
            </w:r>
          </w:p>
        </w:tc>
        <w:tc>
          <w:tcPr>
            <w:tcW w:w="0" w:type="auto"/>
            <w:tcBorders>
              <w:top w:val="single" w:sz="6" w:space="0" w:color="000000"/>
              <w:left w:val="single" w:sz="6" w:space="0" w:color="000000"/>
              <w:bottom w:val="single" w:sz="6" w:space="0" w:color="000000"/>
              <w:right w:val="single" w:sz="6" w:space="0" w:color="000000"/>
            </w:tcBorders>
            <w:shd w:val="clear" w:color="auto" w:fill="F0F0F0"/>
            <w:noWrap/>
            <w:tcMar>
              <w:top w:w="24" w:type="dxa"/>
              <w:left w:w="48" w:type="dxa"/>
              <w:bottom w:w="24" w:type="dxa"/>
              <w:right w:w="48" w:type="dxa"/>
            </w:tcMar>
            <w:hideMark/>
          </w:tcPr>
          <w:p w14:paraId="09767514" w14:textId="77777777" w:rsidR="00BB2430" w:rsidRPr="002D468A" w:rsidRDefault="00BB2430" w:rsidP="000773D3">
            <w:pPr>
              <w:jc w:val="center"/>
              <w:rPr>
                <w:b/>
                <w:bCs/>
                <w:color w:val="000000" w:themeColor="text1"/>
                <w:lang w:val="ro-RO" w:eastAsia="ro-MD"/>
              </w:rPr>
            </w:pPr>
            <w:r w:rsidRPr="002D468A">
              <w:rPr>
                <w:b/>
                <w:bCs/>
                <w:color w:val="000000" w:themeColor="text1"/>
                <w:lang w:val="ro-RO" w:eastAsia="ro-MD"/>
              </w:rPr>
              <w:t>Perioadă de</w:t>
            </w:r>
            <w:r w:rsidRPr="002D468A">
              <w:rPr>
                <w:b/>
                <w:bCs/>
                <w:color w:val="000000" w:themeColor="text1"/>
                <w:lang w:val="ro-RO" w:eastAsia="ro-MD"/>
              </w:rPr>
              <w:br/>
              <w:t>lichidare de 5 zile</w:t>
            </w:r>
            <w:r w:rsidRPr="002D468A">
              <w:rPr>
                <w:b/>
                <w:bCs/>
                <w:color w:val="000000" w:themeColor="text1"/>
                <w:lang w:val="ro-RO" w:eastAsia="ro-MD"/>
              </w:rPr>
              <w:br/>
              <w:t>lucrătoare (%)</w:t>
            </w:r>
          </w:p>
        </w:tc>
      </w:tr>
      <w:tr w:rsidR="000B2CBE" w:rsidRPr="002D468A" w14:paraId="13392177" w14:textId="77777777" w:rsidTr="000773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AF0895" w14:textId="77777777" w:rsidR="00BB2430" w:rsidRPr="002D468A" w:rsidRDefault="00BB2430" w:rsidP="000773D3">
            <w:pPr>
              <w:rPr>
                <w:color w:val="000000" w:themeColor="text1"/>
                <w:lang w:val="ro-RO" w:eastAsia="ro-MD"/>
              </w:rPr>
            </w:pPr>
            <w:r w:rsidRPr="002D468A">
              <w:rPr>
                <w:color w:val="000000" w:themeColor="text1"/>
                <w:lang w:val="ro-RO" w:eastAsia="ro-MD"/>
              </w:rPr>
              <w:t>Titluri de capital incluse într-un indice principal, obligațiuni convertibile incluse într-un indice principal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E93C68" w14:textId="77777777" w:rsidR="00BB2430" w:rsidRPr="002D468A" w:rsidRDefault="00BB2430" w:rsidP="000773D3">
            <w:pPr>
              <w:jc w:val="center"/>
              <w:rPr>
                <w:color w:val="000000" w:themeColor="text1"/>
                <w:lang w:val="ro-RO" w:eastAsia="ro-MD"/>
              </w:rPr>
            </w:pPr>
            <w:r w:rsidRPr="002D468A">
              <w:rPr>
                <w:color w:val="000000" w:themeColor="text1"/>
                <w:lang w:val="ro-RO" w:eastAsia="ro-MD"/>
              </w:rPr>
              <w:t>28,284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BF3A6D" w14:textId="77777777" w:rsidR="00BB2430" w:rsidRPr="002D468A" w:rsidRDefault="00BB2430" w:rsidP="000773D3">
            <w:pPr>
              <w:jc w:val="center"/>
              <w:rPr>
                <w:color w:val="000000" w:themeColor="text1"/>
                <w:lang w:val="ro-RO" w:eastAsia="ro-MD"/>
              </w:rPr>
            </w:pPr>
            <w:r w:rsidRPr="002D468A">
              <w:rPr>
                <w:color w:val="000000" w:themeColor="text1"/>
                <w:lang w:val="ro-RO" w:eastAsia="ro-MD"/>
              </w:rPr>
              <w:t>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311681" w14:textId="77777777" w:rsidR="00BB2430" w:rsidRPr="002D468A" w:rsidRDefault="00BB2430" w:rsidP="000773D3">
            <w:pPr>
              <w:jc w:val="center"/>
              <w:rPr>
                <w:color w:val="000000" w:themeColor="text1"/>
                <w:lang w:val="ro-RO" w:eastAsia="ro-MD"/>
              </w:rPr>
            </w:pPr>
            <w:r w:rsidRPr="002D468A">
              <w:rPr>
                <w:color w:val="000000" w:themeColor="text1"/>
                <w:lang w:val="ro-RO" w:eastAsia="ro-MD"/>
              </w:rPr>
              <w:t>14,142</w:t>
            </w:r>
          </w:p>
        </w:tc>
      </w:tr>
      <w:tr w:rsidR="000B2CBE" w:rsidRPr="002D468A" w14:paraId="508B53AE" w14:textId="77777777" w:rsidTr="000773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C59A77" w14:textId="77777777" w:rsidR="00BB2430" w:rsidRPr="002D468A" w:rsidRDefault="00BB2430" w:rsidP="000773D3">
            <w:pPr>
              <w:rPr>
                <w:color w:val="000000" w:themeColor="text1"/>
                <w:lang w:val="ro-RO" w:eastAsia="ro-MD"/>
              </w:rPr>
            </w:pPr>
            <w:r w:rsidRPr="002D468A">
              <w:rPr>
                <w:color w:val="000000" w:themeColor="text1"/>
                <w:lang w:val="ro-RO" w:eastAsia="ro-MD"/>
              </w:rPr>
              <w:t>Alte titluri de capital sau obligațiuni convertibile cotate la o bursă recunoscută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C37E9A" w14:textId="77777777" w:rsidR="00BB2430" w:rsidRPr="002D468A" w:rsidRDefault="00BB2430" w:rsidP="000773D3">
            <w:pPr>
              <w:jc w:val="center"/>
              <w:rPr>
                <w:color w:val="000000" w:themeColor="text1"/>
                <w:lang w:val="ro-RO" w:eastAsia="ro-MD"/>
              </w:rPr>
            </w:pPr>
            <w:r w:rsidRPr="002D468A">
              <w:rPr>
                <w:color w:val="000000" w:themeColor="text1"/>
                <w:lang w:val="ro-RO" w:eastAsia="ro-MD"/>
              </w:rPr>
              <w:t>42,426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DCBCB4" w14:textId="77777777" w:rsidR="00BB2430" w:rsidRPr="002D468A" w:rsidRDefault="00BB2430" w:rsidP="000773D3">
            <w:pPr>
              <w:jc w:val="center"/>
              <w:rPr>
                <w:color w:val="000000" w:themeColor="text1"/>
                <w:lang w:val="ro-RO" w:eastAsia="ro-MD"/>
              </w:rPr>
            </w:pPr>
            <w:r w:rsidRPr="002D468A">
              <w:rPr>
                <w:color w:val="000000" w:themeColor="text1"/>
                <w:lang w:val="ro-RO" w:eastAsia="ro-MD"/>
              </w:rPr>
              <w:t>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40084D" w14:textId="77777777" w:rsidR="00BB2430" w:rsidRPr="002D468A" w:rsidRDefault="00BB2430" w:rsidP="000773D3">
            <w:pPr>
              <w:jc w:val="center"/>
              <w:rPr>
                <w:color w:val="000000" w:themeColor="text1"/>
                <w:lang w:val="ro-RO" w:eastAsia="ro-MD"/>
              </w:rPr>
            </w:pPr>
            <w:r w:rsidRPr="002D468A">
              <w:rPr>
                <w:color w:val="000000" w:themeColor="text1"/>
                <w:lang w:val="ro-RO" w:eastAsia="ro-MD"/>
              </w:rPr>
              <w:t>21,213</w:t>
            </w:r>
          </w:p>
        </w:tc>
      </w:tr>
      <w:tr w:rsidR="000B2CBE" w:rsidRPr="002D468A" w14:paraId="434F55BE" w14:textId="77777777" w:rsidTr="000773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160EA9" w14:textId="77777777" w:rsidR="00BB2430" w:rsidRPr="002D468A" w:rsidRDefault="00BB2430" w:rsidP="000773D3">
            <w:pPr>
              <w:rPr>
                <w:color w:val="000000" w:themeColor="text1"/>
                <w:lang w:val="ro-RO" w:eastAsia="ro-MD"/>
              </w:rPr>
            </w:pPr>
            <w:r w:rsidRPr="002D468A">
              <w:rPr>
                <w:color w:val="000000" w:themeColor="text1"/>
                <w:lang w:val="ro-RO" w:eastAsia="ro-MD"/>
              </w:rPr>
              <w:t>Mijloace bănești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3D11B5" w14:textId="77777777" w:rsidR="00BB2430" w:rsidRPr="002D468A" w:rsidRDefault="00BB2430" w:rsidP="000773D3">
            <w:pPr>
              <w:jc w:val="center"/>
              <w:rPr>
                <w:color w:val="000000" w:themeColor="text1"/>
                <w:lang w:val="ro-RO" w:eastAsia="ro-MD"/>
              </w:rPr>
            </w:pPr>
            <w:r w:rsidRPr="002D468A">
              <w:rPr>
                <w:color w:val="000000" w:themeColor="text1"/>
                <w:lang w:val="ro-RO" w:eastAsia="ro-MD"/>
              </w:rPr>
              <w:t>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DD1BF4" w14:textId="77777777" w:rsidR="00BB2430" w:rsidRPr="002D468A" w:rsidRDefault="00BB2430" w:rsidP="000773D3">
            <w:pPr>
              <w:jc w:val="center"/>
              <w:rPr>
                <w:color w:val="000000" w:themeColor="text1"/>
                <w:lang w:val="ro-RO" w:eastAsia="ro-MD"/>
              </w:rPr>
            </w:pPr>
            <w:r w:rsidRPr="002D468A">
              <w:rPr>
                <w:color w:val="000000" w:themeColor="text1"/>
                <w:lang w:val="ro-RO" w:eastAsia="ro-MD"/>
              </w:rPr>
              <w:t>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863942" w14:textId="77777777" w:rsidR="00BB2430" w:rsidRPr="002D468A" w:rsidRDefault="00BB2430" w:rsidP="000773D3">
            <w:pPr>
              <w:jc w:val="center"/>
              <w:rPr>
                <w:color w:val="000000" w:themeColor="text1"/>
                <w:lang w:val="ro-RO" w:eastAsia="ro-MD"/>
              </w:rPr>
            </w:pPr>
            <w:r w:rsidRPr="002D468A">
              <w:rPr>
                <w:color w:val="000000" w:themeColor="text1"/>
                <w:lang w:val="ro-RO" w:eastAsia="ro-MD"/>
              </w:rPr>
              <w:t>0</w:t>
            </w:r>
          </w:p>
        </w:tc>
      </w:tr>
      <w:tr w:rsidR="000B2CBE" w:rsidRPr="002D468A" w14:paraId="664B54CB" w14:textId="77777777" w:rsidTr="000773D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993FC6" w14:textId="77777777" w:rsidR="00BB2430" w:rsidRPr="002D468A" w:rsidRDefault="00BB2430" w:rsidP="000773D3">
            <w:pPr>
              <w:rPr>
                <w:color w:val="000000" w:themeColor="text1"/>
                <w:lang w:val="ro-RO" w:eastAsia="ro-MD"/>
              </w:rPr>
            </w:pPr>
            <w:r w:rsidRPr="002D468A">
              <w:rPr>
                <w:color w:val="000000" w:themeColor="text1"/>
                <w:lang w:val="ro-RO" w:eastAsia="ro-MD"/>
              </w:rPr>
              <w:t>Aur lingouri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308264" w14:textId="77777777" w:rsidR="00BB2430" w:rsidRPr="002D468A" w:rsidRDefault="00BB2430" w:rsidP="000773D3">
            <w:pPr>
              <w:jc w:val="center"/>
              <w:rPr>
                <w:color w:val="000000" w:themeColor="text1"/>
                <w:lang w:val="ro-RO" w:eastAsia="ro-MD"/>
              </w:rPr>
            </w:pPr>
            <w:r w:rsidRPr="002D468A">
              <w:rPr>
                <w:color w:val="000000" w:themeColor="text1"/>
                <w:lang w:val="ro-RO" w:eastAsia="ro-MD"/>
              </w:rPr>
              <w:t>28,284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073303" w14:textId="77777777" w:rsidR="00BB2430" w:rsidRPr="002D468A" w:rsidRDefault="00BB2430" w:rsidP="000773D3">
            <w:pPr>
              <w:jc w:val="center"/>
              <w:rPr>
                <w:color w:val="000000" w:themeColor="text1"/>
                <w:lang w:val="ro-RO" w:eastAsia="ro-MD"/>
              </w:rPr>
            </w:pPr>
            <w:r w:rsidRPr="002D468A">
              <w:rPr>
                <w:color w:val="000000" w:themeColor="text1"/>
                <w:lang w:val="ro-RO" w:eastAsia="ro-MD"/>
              </w:rPr>
              <w:t>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3CB728" w14:textId="77777777" w:rsidR="00BB2430" w:rsidRPr="002D468A" w:rsidRDefault="00BB2430" w:rsidP="000773D3">
            <w:pPr>
              <w:jc w:val="center"/>
              <w:rPr>
                <w:color w:val="000000" w:themeColor="text1"/>
                <w:lang w:val="ro-RO" w:eastAsia="ro-MD"/>
              </w:rPr>
            </w:pPr>
            <w:r w:rsidRPr="002D468A">
              <w:rPr>
                <w:color w:val="000000" w:themeColor="text1"/>
                <w:lang w:val="ro-RO" w:eastAsia="ro-MD"/>
              </w:rPr>
              <w:t>14,142</w:t>
            </w:r>
          </w:p>
        </w:tc>
      </w:tr>
    </w:tbl>
    <w:p w14:paraId="7BB686EE" w14:textId="79EA0ABA" w:rsidR="00BB2430" w:rsidRPr="002D468A" w:rsidRDefault="00BB2430" w:rsidP="00BB2430">
      <w:pPr>
        <w:tabs>
          <w:tab w:val="left" w:pos="567"/>
        </w:tabs>
        <w:spacing w:before="80"/>
        <w:jc w:val="both"/>
        <w:rPr>
          <w:color w:val="000000" w:themeColor="text1"/>
          <w:lang w:val="ro-MD"/>
        </w:rPr>
      </w:pPr>
      <w:r w:rsidRPr="002D468A">
        <w:rPr>
          <w:color w:val="000000" w:themeColor="text1"/>
          <w:lang w:val="ro-MD"/>
        </w:rPr>
        <w:t xml:space="preserve"> </w:t>
      </w:r>
    </w:p>
    <w:p w14:paraId="4C8727E8" w14:textId="4969B9D9" w:rsidR="008A1582" w:rsidRPr="002D468A" w:rsidRDefault="008A1582" w:rsidP="00CB36D2">
      <w:pPr>
        <w:pStyle w:val="ListParagraph"/>
        <w:numPr>
          <w:ilvl w:val="2"/>
          <w:numId w:val="27"/>
        </w:numPr>
        <w:tabs>
          <w:tab w:val="left" w:pos="567"/>
        </w:tabs>
        <w:spacing w:before="80"/>
        <w:ind w:left="0" w:firstLine="567"/>
        <w:contextualSpacing w:val="0"/>
        <w:jc w:val="both"/>
        <w:rPr>
          <w:color w:val="000000" w:themeColor="text1"/>
          <w:lang w:val="ro-MD"/>
        </w:rPr>
      </w:pPr>
      <w:r w:rsidRPr="002D468A">
        <w:rPr>
          <w:color w:val="000000" w:themeColor="text1"/>
          <w:lang w:val="ro-MD"/>
        </w:rPr>
        <w:t>Denumirea tabelului nr.4 se completează cu textul „</w:t>
      </w:r>
      <w:r w:rsidRPr="002D468A">
        <w:rPr>
          <w:b/>
          <w:bCs/>
          <w:color w:val="000000" w:themeColor="text1"/>
          <w:lang w:val="ro-RO" w:eastAsia="ro-MD"/>
        </w:rPr>
        <w:t>(</w:t>
      </w:r>
      <w:proofErr w:type="spellStart"/>
      <w:r w:rsidRPr="002D468A">
        <w:rPr>
          <w:b/>
          <w:bCs/>
          <w:color w:val="000000" w:themeColor="text1"/>
          <w:lang w:val="ro-RO" w:eastAsia="ro-MD"/>
        </w:rPr>
        <w:t>H</w:t>
      </w:r>
      <w:r w:rsidRPr="002D468A">
        <w:rPr>
          <w:b/>
          <w:bCs/>
          <w:color w:val="000000" w:themeColor="text1"/>
          <w:vertAlign w:val="subscript"/>
          <w:lang w:val="ro-RO" w:eastAsia="ro-MD"/>
        </w:rPr>
        <w:t>fx</w:t>
      </w:r>
      <w:proofErr w:type="spellEnd"/>
      <w:r w:rsidRPr="002D468A">
        <w:rPr>
          <w:b/>
          <w:bCs/>
          <w:color w:val="000000" w:themeColor="text1"/>
          <w:lang w:val="ro-RO" w:eastAsia="ro-MD"/>
        </w:rPr>
        <w:t>)</w:t>
      </w:r>
      <w:r w:rsidRPr="002D468A">
        <w:rPr>
          <w:color w:val="000000" w:themeColor="text1"/>
          <w:lang w:val="ro-RO" w:eastAsia="ro-MD"/>
        </w:rPr>
        <w:t>”.</w:t>
      </w:r>
    </w:p>
    <w:p w14:paraId="0BB88D20" w14:textId="2AAE8635" w:rsidR="0091180D" w:rsidRPr="002D468A" w:rsidRDefault="00483623" w:rsidP="00F7502D">
      <w:pPr>
        <w:pStyle w:val="ListParagraph"/>
        <w:numPr>
          <w:ilvl w:val="1"/>
          <w:numId w:val="27"/>
        </w:numPr>
        <w:tabs>
          <w:tab w:val="left" w:pos="567"/>
        </w:tabs>
        <w:spacing w:before="80"/>
        <w:ind w:left="0" w:firstLine="567"/>
        <w:contextualSpacing w:val="0"/>
        <w:jc w:val="both"/>
        <w:rPr>
          <w:color w:val="000000" w:themeColor="text1"/>
          <w:lang w:val="ro-MD"/>
        </w:rPr>
      </w:pPr>
      <w:r w:rsidRPr="002D468A">
        <w:rPr>
          <w:color w:val="000000" w:themeColor="text1"/>
          <w:lang w:val="ro-MD"/>
        </w:rPr>
        <w:t>Se completează cu punctul 96</w:t>
      </w:r>
      <w:r w:rsidRPr="002D468A">
        <w:rPr>
          <w:color w:val="000000" w:themeColor="text1"/>
          <w:vertAlign w:val="superscript"/>
          <w:lang w:val="ro-MD"/>
        </w:rPr>
        <w:t>1</w:t>
      </w:r>
      <w:r w:rsidRPr="002D468A">
        <w:rPr>
          <w:color w:val="000000" w:themeColor="text1"/>
          <w:lang w:val="ro-MD"/>
        </w:rPr>
        <w:t xml:space="preserve"> cu următorul cuprins:</w:t>
      </w:r>
    </w:p>
    <w:p w14:paraId="7023DDC0" w14:textId="2A3291D2" w:rsidR="00483623" w:rsidRPr="002D468A" w:rsidRDefault="00483623" w:rsidP="00483623">
      <w:pPr>
        <w:tabs>
          <w:tab w:val="left" w:pos="567"/>
        </w:tabs>
        <w:jc w:val="both"/>
        <w:rPr>
          <w:color w:val="000000" w:themeColor="text1"/>
          <w:lang w:val="ro-MD"/>
        </w:rPr>
      </w:pPr>
      <w:r w:rsidRPr="002D468A">
        <w:rPr>
          <w:color w:val="000000" w:themeColor="text1"/>
          <w:lang w:val="ro-MD"/>
        </w:rPr>
        <w:t>„</w:t>
      </w:r>
      <w:r w:rsidRPr="002D468A">
        <w:rPr>
          <w:b/>
          <w:bCs/>
          <w:color w:val="000000" w:themeColor="text1"/>
          <w:lang w:val="ro-RO" w:eastAsia="ro-MD"/>
        </w:rPr>
        <w:t>96</w:t>
      </w:r>
      <w:r w:rsidRPr="002D468A">
        <w:rPr>
          <w:b/>
          <w:bCs/>
          <w:color w:val="000000" w:themeColor="text1"/>
          <w:vertAlign w:val="superscript"/>
          <w:lang w:val="ro-RO" w:eastAsia="ro-MD"/>
        </w:rPr>
        <w:t>1</w:t>
      </w:r>
      <w:r w:rsidRPr="002D468A">
        <w:rPr>
          <w:b/>
          <w:bCs/>
          <w:color w:val="000000" w:themeColor="text1"/>
          <w:lang w:val="ro-RO" w:eastAsia="ro-MD"/>
        </w:rPr>
        <w:t>.</w:t>
      </w:r>
      <w:r w:rsidRPr="002D468A">
        <w:rPr>
          <w:color w:val="000000" w:themeColor="text1"/>
          <w:lang w:val="ro-RO" w:eastAsia="ro-MD"/>
        </w:rPr>
        <w:t xml:space="preserve"> Dacă banca are o tranzacție sau un set de compensare care îndeplinesc criteriile aferente valorii expunerii pentru seturile de compensare care fac obiectul unui contract în marjă stabilite conform actelor normative ale Băncii Naționale a Moldovei aferente tratamentului riscului de credit al </w:t>
      </w:r>
      <w:proofErr w:type="spellStart"/>
      <w:r w:rsidRPr="002D468A">
        <w:rPr>
          <w:color w:val="000000" w:themeColor="text1"/>
          <w:lang w:val="ro-RO" w:eastAsia="ro-MD"/>
        </w:rPr>
        <w:t>contrapărții</w:t>
      </w:r>
      <w:proofErr w:type="spellEnd"/>
      <w:r w:rsidRPr="002D468A">
        <w:rPr>
          <w:color w:val="000000" w:themeColor="text1"/>
          <w:lang w:val="ro-RO" w:eastAsia="ro-MD"/>
        </w:rPr>
        <w:t>, perioada minimă de deținere trebuie aliniată cu perioada de risc de marjă care s-ar aplica în conformitate cu aceste criterii.”.</w:t>
      </w:r>
    </w:p>
    <w:p w14:paraId="5DDD9D94" w14:textId="02F8DB68" w:rsidR="00483623" w:rsidRPr="002D468A" w:rsidRDefault="00BB2430" w:rsidP="00F7502D">
      <w:pPr>
        <w:pStyle w:val="ListParagraph"/>
        <w:numPr>
          <w:ilvl w:val="1"/>
          <w:numId w:val="27"/>
        </w:numPr>
        <w:tabs>
          <w:tab w:val="left" w:pos="567"/>
        </w:tabs>
        <w:spacing w:before="80"/>
        <w:ind w:left="0" w:firstLine="567"/>
        <w:contextualSpacing w:val="0"/>
        <w:jc w:val="both"/>
        <w:rPr>
          <w:color w:val="000000" w:themeColor="text1"/>
          <w:lang w:val="ro-MD"/>
        </w:rPr>
      </w:pPr>
      <w:r w:rsidRPr="002D468A">
        <w:rPr>
          <w:color w:val="000000" w:themeColor="text1"/>
          <w:lang w:val="ro-MD"/>
        </w:rPr>
        <w:t>La punctul 104 subpunctul 7)</w:t>
      </w:r>
      <w:r w:rsidR="006952B7" w:rsidRPr="002D468A">
        <w:rPr>
          <w:color w:val="000000" w:themeColor="text1"/>
          <w:lang w:val="ro-MD"/>
        </w:rPr>
        <w:t>,</w:t>
      </w:r>
      <w:r w:rsidRPr="002D468A">
        <w:rPr>
          <w:color w:val="000000" w:themeColor="text1"/>
          <w:lang w:val="ro-MD"/>
        </w:rPr>
        <w:t xml:space="preserve"> cuvântul „rezilierea” se substituie cu cuvântul „rezoluțiunea”</w:t>
      </w:r>
      <w:r w:rsidR="00CB36D2" w:rsidRPr="002D468A">
        <w:rPr>
          <w:color w:val="000000" w:themeColor="text1"/>
          <w:lang w:val="ro-MD"/>
        </w:rPr>
        <w:t>, iar cuvântul „furniza”</w:t>
      </w:r>
      <w:r w:rsidR="005E1CEA" w:rsidRPr="002D468A">
        <w:rPr>
          <w:color w:val="000000" w:themeColor="text1"/>
          <w:lang w:val="ro-MD"/>
        </w:rPr>
        <w:t xml:space="preserve"> </w:t>
      </w:r>
      <w:r w:rsidR="0012034E" w:rsidRPr="002D468A">
        <w:rPr>
          <w:color w:val="000000" w:themeColor="text1"/>
          <w:lang w:val="ro-MD"/>
        </w:rPr>
        <w:t>se substituie cu cuvintele „</w:t>
      </w:r>
      <w:r w:rsidR="0012034E" w:rsidRPr="002D468A">
        <w:rPr>
          <w:color w:val="000000" w:themeColor="text1"/>
          <w:lang w:val="ro-RO" w:eastAsia="ro-MD"/>
        </w:rPr>
        <w:t>da curs apelului în”</w:t>
      </w:r>
      <w:r w:rsidR="00BF76A9" w:rsidRPr="002D468A">
        <w:rPr>
          <w:color w:val="000000" w:themeColor="text1"/>
          <w:lang w:val="ro-RO" w:eastAsia="ro-MD"/>
        </w:rPr>
        <w:t>.</w:t>
      </w:r>
    </w:p>
    <w:p w14:paraId="20443860" w14:textId="03E09C3F" w:rsidR="00BF76A9" w:rsidRPr="002D468A" w:rsidRDefault="00BF76A9" w:rsidP="00F7502D">
      <w:pPr>
        <w:pStyle w:val="ListParagraph"/>
        <w:numPr>
          <w:ilvl w:val="1"/>
          <w:numId w:val="27"/>
        </w:numPr>
        <w:tabs>
          <w:tab w:val="left" w:pos="567"/>
        </w:tabs>
        <w:spacing w:before="80"/>
        <w:ind w:left="0" w:firstLine="567"/>
        <w:contextualSpacing w:val="0"/>
        <w:jc w:val="both"/>
        <w:rPr>
          <w:color w:val="000000" w:themeColor="text1"/>
          <w:lang w:val="ro-MD"/>
        </w:rPr>
      </w:pPr>
      <w:r w:rsidRPr="002D468A">
        <w:rPr>
          <w:color w:val="000000" w:themeColor="text1"/>
          <w:lang w:val="ro-RO" w:eastAsia="ro-MD"/>
        </w:rPr>
        <w:t>Se completează cu punctul 104</w:t>
      </w:r>
      <w:r w:rsidRPr="002D468A">
        <w:rPr>
          <w:color w:val="000000" w:themeColor="text1"/>
          <w:vertAlign w:val="superscript"/>
          <w:lang w:val="ro-RO" w:eastAsia="ro-MD"/>
        </w:rPr>
        <w:t>1</w:t>
      </w:r>
      <w:r w:rsidRPr="002D468A">
        <w:rPr>
          <w:color w:val="000000" w:themeColor="text1"/>
          <w:lang w:val="ro-RO" w:eastAsia="ro-MD"/>
        </w:rPr>
        <w:t xml:space="preserve"> cu următorul cuprins:</w:t>
      </w:r>
    </w:p>
    <w:p w14:paraId="0027C5C0" w14:textId="7E8FEB65" w:rsidR="00BF76A9" w:rsidRPr="002D468A" w:rsidRDefault="00BF76A9" w:rsidP="00B65F07">
      <w:pPr>
        <w:tabs>
          <w:tab w:val="left" w:pos="567"/>
        </w:tabs>
        <w:jc w:val="both"/>
        <w:rPr>
          <w:color w:val="000000" w:themeColor="text1"/>
          <w:lang w:val="ro-MD"/>
        </w:rPr>
      </w:pPr>
      <w:r w:rsidRPr="002D468A">
        <w:rPr>
          <w:color w:val="000000" w:themeColor="text1"/>
          <w:lang w:val="ro-MD"/>
        </w:rPr>
        <w:t>„</w:t>
      </w:r>
      <w:r w:rsidRPr="002D468A">
        <w:rPr>
          <w:b/>
          <w:bCs/>
          <w:color w:val="000000" w:themeColor="text1"/>
          <w:lang w:val="ro-RO" w:eastAsia="ro-MD"/>
        </w:rPr>
        <w:t>104</w:t>
      </w:r>
      <w:r w:rsidRPr="002D468A">
        <w:rPr>
          <w:b/>
          <w:bCs/>
          <w:color w:val="000000" w:themeColor="text1"/>
          <w:vertAlign w:val="superscript"/>
          <w:lang w:val="ro-RO" w:eastAsia="ro-MD"/>
        </w:rPr>
        <w:t>1</w:t>
      </w:r>
      <w:r w:rsidRPr="002D468A">
        <w:rPr>
          <w:b/>
          <w:bCs/>
          <w:color w:val="000000" w:themeColor="text1"/>
          <w:lang w:val="ro-RO" w:eastAsia="ro-MD"/>
        </w:rPr>
        <w:t>.</w:t>
      </w:r>
      <w:r w:rsidRPr="002D468A">
        <w:rPr>
          <w:color w:val="000000" w:themeColor="text1"/>
          <w:lang w:val="ro-RO" w:eastAsia="ro-MD"/>
        </w:rPr>
        <w:t xml:space="preserve"> Băncile care utilizează abordarea bazată pe modele interne prevăzută la secțiunea 2</w:t>
      </w:r>
      <w:r w:rsidRPr="002D468A">
        <w:rPr>
          <w:color w:val="000000" w:themeColor="text1"/>
          <w:vertAlign w:val="superscript"/>
          <w:lang w:val="ro-RO" w:eastAsia="ro-MD"/>
        </w:rPr>
        <w:t>1</w:t>
      </w:r>
      <w:r w:rsidRPr="002D468A">
        <w:rPr>
          <w:color w:val="000000" w:themeColor="text1"/>
          <w:lang w:val="ro-RO" w:eastAsia="ro-MD"/>
        </w:rPr>
        <w:t xml:space="preserve"> din prezentul capitol nu utilizează tratamentul stabilit în prezenta secțiune.”.</w:t>
      </w:r>
    </w:p>
    <w:p w14:paraId="7F3AC37C" w14:textId="65D70BF9" w:rsidR="00BF76A9" w:rsidRPr="002D468A" w:rsidRDefault="00C01A5F" w:rsidP="00F7502D">
      <w:pPr>
        <w:pStyle w:val="ListParagraph"/>
        <w:numPr>
          <w:ilvl w:val="1"/>
          <w:numId w:val="27"/>
        </w:numPr>
        <w:tabs>
          <w:tab w:val="left" w:pos="567"/>
        </w:tabs>
        <w:spacing w:before="80"/>
        <w:ind w:left="0" w:firstLine="567"/>
        <w:contextualSpacing w:val="0"/>
        <w:jc w:val="both"/>
        <w:rPr>
          <w:color w:val="000000" w:themeColor="text1"/>
          <w:lang w:val="ro-MD"/>
        </w:rPr>
      </w:pPr>
      <w:r w:rsidRPr="002D468A">
        <w:rPr>
          <w:color w:val="000000" w:themeColor="text1"/>
          <w:lang w:val="ro-RO" w:eastAsia="ro-MD"/>
        </w:rPr>
        <w:t>P</w:t>
      </w:r>
      <w:r w:rsidR="00E83175" w:rsidRPr="002D468A">
        <w:rPr>
          <w:color w:val="000000" w:themeColor="text1"/>
          <w:lang w:val="ro-RO" w:eastAsia="ro-MD"/>
        </w:rPr>
        <w:t>unctul 105:</w:t>
      </w:r>
    </w:p>
    <w:p w14:paraId="118F389E" w14:textId="582539AA" w:rsidR="00E83175" w:rsidRPr="002D468A" w:rsidRDefault="00C01A5F" w:rsidP="00B65F07">
      <w:pPr>
        <w:pStyle w:val="ListParagraph"/>
        <w:numPr>
          <w:ilvl w:val="2"/>
          <w:numId w:val="27"/>
        </w:numPr>
        <w:tabs>
          <w:tab w:val="left" w:pos="567"/>
        </w:tabs>
        <w:spacing w:before="80"/>
        <w:ind w:left="0" w:firstLine="567"/>
        <w:contextualSpacing w:val="0"/>
        <w:jc w:val="both"/>
        <w:rPr>
          <w:color w:val="000000" w:themeColor="text1"/>
          <w:lang w:val="ro-MD"/>
        </w:rPr>
      </w:pPr>
      <w:r w:rsidRPr="002D468A">
        <w:rPr>
          <w:color w:val="000000" w:themeColor="text1"/>
          <w:lang w:val="ro-MD"/>
        </w:rPr>
        <w:lastRenderedPageBreak/>
        <w:t>la subpunctele 2) - 5)</w:t>
      </w:r>
      <w:r w:rsidR="006952B7" w:rsidRPr="002D468A">
        <w:rPr>
          <w:color w:val="000000" w:themeColor="text1"/>
          <w:lang w:val="ro-MD"/>
        </w:rPr>
        <w:t>,</w:t>
      </w:r>
      <w:r w:rsidRPr="002D468A">
        <w:rPr>
          <w:color w:val="000000" w:themeColor="text1"/>
          <w:lang w:val="ro-MD"/>
        </w:rPr>
        <w:t xml:space="preserve"> cuvintele „din Republica Moldova” se exclud;</w:t>
      </w:r>
    </w:p>
    <w:p w14:paraId="620E1A6C" w14:textId="3A85FE4F" w:rsidR="00C01A5F" w:rsidRPr="002D468A" w:rsidRDefault="00C01A5F" w:rsidP="00B65F07">
      <w:pPr>
        <w:pStyle w:val="ListParagraph"/>
        <w:numPr>
          <w:ilvl w:val="2"/>
          <w:numId w:val="27"/>
        </w:numPr>
        <w:tabs>
          <w:tab w:val="left" w:pos="0"/>
        </w:tabs>
        <w:spacing w:before="80"/>
        <w:ind w:left="0" w:firstLine="567"/>
        <w:contextualSpacing w:val="0"/>
        <w:jc w:val="both"/>
        <w:rPr>
          <w:color w:val="000000" w:themeColor="text1"/>
          <w:lang w:val="ro-MD"/>
        </w:rPr>
      </w:pPr>
      <w:r w:rsidRPr="002D468A">
        <w:rPr>
          <w:color w:val="000000" w:themeColor="text1"/>
          <w:lang w:val="ro-MD"/>
        </w:rPr>
        <w:t>se completează cu subpunctele 2</w:t>
      </w:r>
      <w:r w:rsidRPr="002D468A">
        <w:rPr>
          <w:color w:val="000000" w:themeColor="text1"/>
          <w:vertAlign w:val="superscript"/>
          <w:lang w:val="ro-MD"/>
        </w:rPr>
        <w:t>1</w:t>
      </w:r>
      <w:r w:rsidRPr="002D468A">
        <w:rPr>
          <w:color w:val="000000" w:themeColor="text1"/>
          <w:lang w:val="ro-MD"/>
        </w:rPr>
        <w:t>) și 2</w:t>
      </w:r>
      <w:r w:rsidRPr="002D468A">
        <w:rPr>
          <w:color w:val="000000" w:themeColor="text1"/>
          <w:vertAlign w:val="superscript"/>
          <w:lang w:val="ro-MD"/>
        </w:rPr>
        <w:t>2</w:t>
      </w:r>
      <w:r w:rsidRPr="002D468A">
        <w:rPr>
          <w:color w:val="000000" w:themeColor="text1"/>
          <w:lang w:val="ro-MD"/>
        </w:rPr>
        <w:t>) cu următorul cuprins:</w:t>
      </w:r>
    </w:p>
    <w:p w14:paraId="4542832C" w14:textId="4539810A" w:rsidR="00C01A5F" w:rsidRPr="002D468A" w:rsidRDefault="00C01A5F" w:rsidP="00C01A5F">
      <w:pPr>
        <w:jc w:val="both"/>
        <w:rPr>
          <w:color w:val="000000" w:themeColor="text1"/>
          <w:sz w:val="18"/>
          <w:szCs w:val="18"/>
          <w:lang w:val="ro-RO" w:eastAsia="ro-MD"/>
        </w:rPr>
      </w:pPr>
      <w:r w:rsidRPr="002D468A">
        <w:rPr>
          <w:color w:val="000000" w:themeColor="text1"/>
          <w:lang w:val="ro-MD"/>
        </w:rPr>
        <w:t>„</w:t>
      </w:r>
      <w:r w:rsidRPr="002D468A">
        <w:rPr>
          <w:color w:val="000000" w:themeColor="text1"/>
          <w:lang w:val="ro-RO" w:eastAsia="ro-MD"/>
        </w:rPr>
        <w:t>2</w:t>
      </w:r>
      <w:r w:rsidRPr="002D468A">
        <w:rPr>
          <w:color w:val="000000" w:themeColor="text1"/>
          <w:vertAlign w:val="superscript"/>
          <w:lang w:val="ro-RO" w:eastAsia="ro-MD"/>
        </w:rPr>
        <w:t>1</w:t>
      </w:r>
      <w:r w:rsidRPr="002D468A">
        <w:rPr>
          <w:color w:val="000000" w:themeColor="text1"/>
          <w:lang w:val="ro-RO" w:eastAsia="ro-MD"/>
        </w:rPr>
        <w:t>) societăți de investiții;</w:t>
      </w:r>
    </w:p>
    <w:p w14:paraId="7C6A3B07" w14:textId="7CED5182" w:rsidR="00C01A5F" w:rsidRPr="002D468A" w:rsidRDefault="00C01A5F" w:rsidP="00C01A5F">
      <w:pPr>
        <w:tabs>
          <w:tab w:val="left" w:pos="567"/>
        </w:tabs>
        <w:spacing w:before="80"/>
        <w:jc w:val="both"/>
        <w:rPr>
          <w:color w:val="000000" w:themeColor="text1"/>
          <w:lang w:val="ro-MD"/>
        </w:rPr>
      </w:pPr>
      <w:r w:rsidRPr="002D468A">
        <w:rPr>
          <w:color w:val="000000" w:themeColor="text1"/>
          <w:lang w:val="ro-RO" w:eastAsia="ro-MD"/>
        </w:rPr>
        <w:t>2</w:t>
      </w:r>
      <w:r w:rsidRPr="002D468A">
        <w:rPr>
          <w:color w:val="000000" w:themeColor="text1"/>
          <w:vertAlign w:val="superscript"/>
          <w:lang w:val="ro-RO" w:eastAsia="ro-MD"/>
        </w:rPr>
        <w:t>2</w:t>
      </w:r>
      <w:r w:rsidRPr="002D468A">
        <w:rPr>
          <w:color w:val="000000" w:themeColor="text1"/>
          <w:lang w:val="ro-RO" w:eastAsia="ro-MD"/>
        </w:rPr>
        <w:t xml:space="preserve">) alte întreprinderi financiare care reprezintă </w:t>
      </w:r>
      <w:r w:rsidR="002B43F7" w:rsidRPr="002D468A">
        <w:rPr>
          <w:color w:val="000000" w:themeColor="text1"/>
          <w:lang w:val="ro-RO" w:eastAsia="ro-MD"/>
        </w:rPr>
        <w:t xml:space="preserve">un asigurător sau </w:t>
      </w:r>
      <w:proofErr w:type="spellStart"/>
      <w:r w:rsidR="002B43F7" w:rsidRPr="002D468A">
        <w:rPr>
          <w:color w:val="000000" w:themeColor="text1"/>
          <w:lang w:val="ro-RO" w:eastAsia="ro-MD"/>
        </w:rPr>
        <w:t>reasigurător</w:t>
      </w:r>
      <w:proofErr w:type="spellEnd"/>
      <w:r w:rsidRPr="002D468A">
        <w:rPr>
          <w:color w:val="000000" w:themeColor="text1"/>
          <w:lang w:val="ro-RO" w:eastAsia="ro-MD"/>
        </w:rPr>
        <w:t>, un holding de asigurare sau un holding financiar mixt, dacă expunerilor față de acestea li se atribuie o pondere de risc de 20% conform abordării standardizate, sau întreprinderi care, în cazul băncilor care calculează valorile ponderate la risc ale expunerilor și cuantumurile pierderilor așteptate conform abordării IRB, nu au o evaluare a creditului efectuată de o ECAI recunoscută și sunt evaluate intern de către bancă;”.</w:t>
      </w:r>
    </w:p>
    <w:p w14:paraId="75879158" w14:textId="486BF858" w:rsidR="00BF76A9" w:rsidRPr="002D468A" w:rsidRDefault="00625B28" w:rsidP="00F7502D">
      <w:pPr>
        <w:pStyle w:val="ListParagraph"/>
        <w:numPr>
          <w:ilvl w:val="1"/>
          <w:numId w:val="27"/>
        </w:numPr>
        <w:tabs>
          <w:tab w:val="left" w:pos="567"/>
        </w:tabs>
        <w:spacing w:before="80"/>
        <w:ind w:left="0" w:firstLine="567"/>
        <w:contextualSpacing w:val="0"/>
        <w:jc w:val="both"/>
        <w:rPr>
          <w:color w:val="000000" w:themeColor="text1"/>
          <w:lang w:val="ro-MD"/>
        </w:rPr>
      </w:pPr>
      <w:r w:rsidRPr="002D468A">
        <w:rPr>
          <w:color w:val="000000" w:themeColor="text1"/>
          <w:lang w:val="ro-MD"/>
        </w:rPr>
        <w:t>La capitolul VIII denumirea secțiunii a 9-a se completează cu cuvintele „</w:t>
      </w:r>
      <w:r w:rsidRPr="002D468A">
        <w:rPr>
          <w:b/>
          <w:bCs/>
          <w:i/>
          <w:iCs/>
          <w:color w:val="000000" w:themeColor="text1"/>
          <w:lang w:val="ro-RO" w:eastAsia="ro-MD"/>
        </w:rPr>
        <w:t>pentru expunerile tratate conform abordării standardizate</w:t>
      </w:r>
      <w:r w:rsidRPr="002D468A">
        <w:rPr>
          <w:color w:val="000000" w:themeColor="text1"/>
          <w:lang w:val="ro-MD"/>
        </w:rPr>
        <w:t>”.</w:t>
      </w:r>
    </w:p>
    <w:p w14:paraId="53A46335" w14:textId="58DC322E" w:rsidR="00625B28" w:rsidRPr="002D468A" w:rsidRDefault="00625B28" w:rsidP="00F7502D">
      <w:pPr>
        <w:pStyle w:val="ListParagraph"/>
        <w:numPr>
          <w:ilvl w:val="1"/>
          <w:numId w:val="27"/>
        </w:numPr>
        <w:tabs>
          <w:tab w:val="left" w:pos="567"/>
        </w:tabs>
        <w:spacing w:before="80"/>
        <w:ind w:left="0" w:firstLine="567"/>
        <w:contextualSpacing w:val="0"/>
        <w:jc w:val="both"/>
        <w:rPr>
          <w:color w:val="000000" w:themeColor="text1"/>
          <w:lang w:val="ro-MD"/>
        </w:rPr>
      </w:pPr>
      <w:r w:rsidRPr="002D468A">
        <w:rPr>
          <w:color w:val="000000" w:themeColor="text1"/>
          <w:lang w:val="ro-MD"/>
        </w:rPr>
        <w:t xml:space="preserve">Punctul 106 se completează </w:t>
      </w:r>
      <w:r w:rsidR="004F20E8" w:rsidRPr="002D468A">
        <w:rPr>
          <w:color w:val="000000" w:themeColor="text1"/>
          <w:lang w:val="ro-MD"/>
        </w:rPr>
        <w:t>la început cu textul „</w:t>
      </w:r>
      <w:r w:rsidR="004F20E8" w:rsidRPr="002D468A">
        <w:rPr>
          <w:color w:val="000000" w:themeColor="text1"/>
          <w:lang w:val="ro-RO" w:eastAsia="ro-MD"/>
        </w:rPr>
        <w:t>În cadrul abordării standardizate,”.</w:t>
      </w:r>
    </w:p>
    <w:p w14:paraId="04774D94" w14:textId="7C3876CE" w:rsidR="004F20E8" w:rsidRPr="002D468A" w:rsidRDefault="004F20E8" w:rsidP="00F7502D">
      <w:pPr>
        <w:pStyle w:val="ListParagraph"/>
        <w:numPr>
          <w:ilvl w:val="1"/>
          <w:numId w:val="27"/>
        </w:numPr>
        <w:tabs>
          <w:tab w:val="left" w:pos="567"/>
        </w:tabs>
        <w:spacing w:before="80"/>
        <w:ind w:left="0" w:firstLine="567"/>
        <w:contextualSpacing w:val="0"/>
        <w:jc w:val="both"/>
        <w:rPr>
          <w:color w:val="000000" w:themeColor="text1"/>
          <w:lang w:val="ro-MD"/>
        </w:rPr>
      </w:pPr>
      <w:r w:rsidRPr="002D468A">
        <w:rPr>
          <w:color w:val="000000" w:themeColor="text1"/>
          <w:lang w:val="ro-RO" w:eastAsia="ro-MD"/>
        </w:rPr>
        <w:t xml:space="preserve">Capitolul VIII se </w:t>
      </w:r>
      <w:r w:rsidR="006013DB" w:rsidRPr="002D468A">
        <w:rPr>
          <w:color w:val="000000" w:themeColor="text1"/>
          <w:lang w:val="ro-RO" w:eastAsia="ro-MD"/>
        </w:rPr>
        <w:t>completează cu secțiun</w:t>
      </w:r>
      <w:r w:rsidR="007E6E1A" w:rsidRPr="002D468A">
        <w:rPr>
          <w:color w:val="000000" w:themeColor="text1"/>
          <w:lang w:val="ro-RO" w:eastAsia="ro-MD"/>
        </w:rPr>
        <w:t>ile</w:t>
      </w:r>
      <w:r w:rsidR="006013DB" w:rsidRPr="002D468A">
        <w:rPr>
          <w:color w:val="000000" w:themeColor="text1"/>
          <w:lang w:val="ro-RO" w:eastAsia="ro-MD"/>
        </w:rPr>
        <w:t xml:space="preserve"> 9</w:t>
      </w:r>
      <w:r w:rsidR="006013DB" w:rsidRPr="002D468A">
        <w:rPr>
          <w:color w:val="000000" w:themeColor="text1"/>
          <w:vertAlign w:val="superscript"/>
          <w:lang w:val="ro-RO" w:eastAsia="ro-MD"/>
        </w:rPr>
        <w:t>1</w:t>
      </w:r>
      <w:r w:rsidR="007E6E1A" w:rsidRPr="002D468A">
        <w:rPr>
          <w:color w:val="000000" w:themeColor="text1"/>
          <w:lang w:val="ro-RO" w:eastAsia="ro-MD"/>
        </w:rPr>
        <w:t>, 9</w:t>
      </w:r>
      <w:r w:rsidR="007E6E1A" w:rsidRPr="002D468A">
        <w:rPr>
          <w:color w:val="000000" w:themeColor="text1"/>
          <w:vertAlign w:val="superscript"/>
          <w:lang w:val="ro-RO" w:eastAsia="ro-MD"/>
        </w:rPr>
        <w:t>2</w:t>
      </w:r>
      <w:r w:rsidR="007E6E1A" w:rsidRPr="002D468A">
        <w:rPr>
          <w:color w:val="000000" w:themeColor="text1"/>
          <w:lang w:val="ro-RO" w:eastAsia="ro-MD"/>
        </w:rPr>
        <w:t xml:space="preserve"> și 9</w:t>
      </w:r>
      <w:r w:rsidR="007E6E1A" w:rsidRPr="002D468A">
        <w:rPr>
          <w:color w:val="000000" w:themeColor="text1"/>
          <w:vertAlign w:val="superscript"/>
          <w:lang w:val="ro-RO" w:eastAsia="ro-MD"/>
        </w:rPr>
        <w:t>3</w:t>
      </w:r>
      <w:r w:rsidR="007E6E1A" w:rsidRPr="002D468A">
        <w:rPr>
          <w:color w:val="000000" w:themeColor="text1"/>
          <w:lang w:val="ro-RO" w:eastAsia="ro-MD"/>
        </w:rPr>
        <w:t xml:space="preserve"> cu următorul cuprins:</w:t>
      </w:r>
    </w:p>
    <w:p w14:paraId="265A37E0" w14:textId="77777777" w:rsidR="006F667E" w:rsidRPr="002D468A" w:rsidRDefault="007E6E1A" w:rsidP="006F667E">
      <w:pPr>
        <w:jc w:val="center"/>
        <w:rPr>
          <w:color w:val="000000" w:themeColor="text1"/>
          <w:lang w:val="ro-RO" w:eastAsia="ro-MD"/>
        </w:rPr>
      </w:pPr>
      <w:r w:rsidRPr="002D468A">
        <w:rPr>
          <w:color w:val="000000" w:themeColor="text1"/>
          <w:lang w:val="ro-RO"/>
        </w:rPr>
        <w:t>„</w:t>
      </w:r>
      <w:r w:rsidR="006F667E" w:rsidRPr="002D468A">
        <w:rPr>
          <w:color w:val="000000" w:themeColor="text1"/>
          <w:lang w:val="ro-RO" w:eastAsia="ro-MD"/>
        </w:rPr>
        <w:t> </w:t>
      </w:r>
      <w:r w:rsidR="006F667E" w:rsidRPr="002D468A">
        <w:rPr>
          <w:b/>
          <w:bCs/>
          <w:i/>
          <w:iCs/>
          <w:color w:val="000000" w:themeColor="text1"/>
          <w:lang w:val="ro-RO" w:eastAsia="ro-MD"/>
        </w:rPr>
        <w:t>Secțiunea a 9</w:t>
      </w:r>
      <w:r w:rsidR="006F667E" w:rsidRPr="002D468A">
        <w:rPr>
          <w:b/>
          <w:bCs/>
          <w:i/>
          <w:iCs/>
          <w:color w:val="000000" w:themeColor="text1"/>
          <w:vertAlign w:val="superscript"/>
          <w:lang w:val="ro-RO" w:eastAsia="ro-MD"/>
        </w:rPr>
        <w:t>1</w:t>
      </w:r>
      <w:r w:rsidR="006F667E" w:rsidRPr="002D468A">
        <w:rPr>
          <w:b/>
          <w:bCs/>
          <w:i/>
          <w:iCs/>
          <w:color w:val="000000" w:themeColor="text1"/>
          <w:lang w:val="ro-RO" w:eastAsia="ro-MD"/>
        </w:rPr>
        <w:t>-a</w:t>
      </w:r>
    </w:p>
    <w:p w14:paraId="6E1E6264" w14:textId="77777777" w:rsidR="006F667E" w:rsidRPr="002D468A" w:rsidRDefault="006F667E" w:rsidP="006F667E">
      <w:pPr>
        <w:jc w:val="center"/>
        <w:rPr>
          <w:color w:val="000000" w:themeColor="text1"/>
          <w:lang w:val="ro-RO" w:eastAsia="ro-MD"/>
        </w:rPr>
      </w:pPr>
      <w:r w:rsidRPr="002D468A">
        <w:rPr>
          <w:b/>
          <w:bCs/>
          <w:i/>
          <w:iCs/>
          <w:color w:val="000000" w:themeColor="text1"/>
          <w:lang w:val="ro-RO" w:eastAsia="ro-MD"/>
        </w:rPr>
        <w:t>Principii de evaluare pentru garanțiile reale eligibile, altele decât garanțiile financiare</w:t>
      </w:r>
    </w:p>
    <w:p w14:paraId="1EB18440" w14:textId="77777777" w:rsidR="006F667E" w:rsidRPr="002D468A" w:rsidRDefault="006F667E" w:rsidP="006F667E">
      <w:pPr>
        <w:pStyle w:val="title-article-norm"/>
        <w:shd w:val="clear" w:color="auto" w:fill="FFFFFF"/>
        <w:spacing w:before="0" w:beforeAutospacing="0" w:after="0" w:afterAutospacing="0" w:line="312" w:lineRule="atLeast"/>
        <w:jc w:val="both"/>
        <w:rPr>
          <w:rFonts w:eastAsia="Arial Unicode MS"/>
          <w:color w:val="000000" w:themeColor="text1"/>
          <w:lang w:val="ro-RO"/>
        </w:rPr>
      </w:pPr>
      <w:r w:rsidRPr="002D468A">
        <w:rPr>
          <w:b/>
          <w:bCs/>
          <w:color w:val="000000" w:themeColor="text1"/>
          <w:lang w:val="ro-RO"/>
          <w14:ligatures w14:val="none"/>
        </w:rPr>
        <w:t>107</w:t>
      </w:r>
      <w:r w:rsidRPr="002D468A">
        <w:rPr>
          <w:b/>
          <w:bCs/>
          <w:color w:val="000000" w:themeColor="text1"/>
          <w:vertAlign w:val="superscript"/>
          <w:lang w:val="ro-RO"/>
          <w14:ligatures w14:val="none"/>
        </w:rPr>
        <w:t>1</w:t>
      </w:r>
      <w:r w:rsidRPr="002D468A">
        <w:rPr>
          <w:b/>
          <w:bCs/>
          <w:color w:val="000000" w:themeColor="text1"/>
          <w:lang w:val="ro-RO"/>
          <w14:ligatures w14:val="none"/>
        </w:rPr>
        <w:t xml:space="preserve">. </w:t>
      </w:r>
      <w:r w:rsidRPr="002D468A">
        <w:rPr>
          <w:rFonts w:eastAsia="Arial Unicode MS"/>
          <w:color w:val="000000" w:themeColor="text1"/>
          <w:lang w:val="ro-RO"/>
        </w:rPr>
        <w:t>Evaluarea bunurilor imobile trebuie să îndeplinească cumulativ următoarele cerințe:</w:t>
      </w:r>
    </w:p>
    <w:p w14:paraId="1B2B50B6" w14:textId="56741CEE" w:rsidR="006F667E" w:rsidRPr="002D468A" w:rsidRDefault="006F667E" w:rsidP="006F667E">
      <w:pPr>
        <w:shd w:val="clear" w:color="auto" w:fill="FFFFFF"/>
        <w:ind w:firstLine="567"/>
        <w:jc w:val="both"/>
        <w:rPr>
          <w:rFonts w:eastAsia="Arial Unicode MS"/>
          <w:color w:val="000000" w:themeColor="text1"/>
          <w:lang w:val="ro-RO"/>
        </w:rPr>
      </w:pPr>
      <w:r w:rsidRPr="002D468A">
        <w:rPr>
          <w:rFonts w:eastAsia="Arial Unicode MS"/>
          <w:color w:val="000000" w:themeColor="text1"/>
          <w:lang w:val="ro-RO"/>
        </w:rPr>
        <w:t>1) valoarea bunului imobil este evaluată independent de procesul desfășurat de bancă pentru realizarea achiziției ipotecare, de procesarea creditului și de procesul de luare a deciziei în ceea ce privește creditul, de către un evaluator independent</w:t>
      </w:r>
      <w:r w:rsidR="0025667E" w:rsidRPr="002D468A">
        <w:rPr>
          <w:rFonts w:eastAsia="Arial Unicode MS"/>
          <w:color w:val="000000" w:themeColor="text1"/>
          <w:lang w:val="ro-RO"/>
        </w:rPr>
        <w:t>, conform Legii nr.989/2002</w:t>
      </w:r>
      <w:r w:rsidR="0023120D" w:rsidRPr="002D468A">
        <w:rPr>
          <w:rFonts w:eastAsia="Arial Unicode MS"/>
          <w:color w:val="000000" w:themeColor="text1"/>
          <w:lang w:val="ro-RO"/>
        </w:rPr>
        <w:t xml:space="preserve"> </w:t>
      </w:r>
      <w:r w:rsidR="0025667E" w:rsidRPr="002D468A">
        <w:rPr>
          <w:rFonts w:eastAsia="Arial Unicode MS"/>
          <w:color w:val="000000" w:themeColor="text1"/>
          <w:lang w:val="ro-RO"/>
        </w:rPr>
        <w:t>cu privire la activitatea de evaluare</w:t>
      </w:r>
      <w:r w:rsidRPr="002D468A">
        <w:rPr>
          <w:rFonts w:eastAsia="Arial Unicode MS"/>
          <w:color w:val="000000" w:themeColor="text1"/>
          <w:lang w:val="ro-RO"/>
        </w:rPr>
        <w:t>;</w:t>
      </w:r>
    </w:p>
    <w:p w14:paraId="67C41834" w14:textId="77777777" w:rsidR="006F667E" w:rsidRPr="002D468A" w:rsidRDefault="006F667E" w:rsidP="006F667E">
      <w:pPr>
        <w:shd w:val="clear" w:color="auto" w:fill="FFFFFF"/>
        <w:ind w:firstLine="567"/>
        <w:jc w:val="both"/>
        <w:rPr>
          <w:rFonts w:eastAsia="Arial Unicode MS"/>
          <w:color w:val="000000" w:themeColor="text1"/>
          <w:lang w:val="ro-RO"/>
        </w:rPr>
      </w:pPr>
      <w:r w:rsidRPr="002D468A">
        <w:rPr>
          <w:rFonts w:eastAsia="Arial Unicode MS"/>
          <w:color w:val="000000" w:themeColor="text1"/>
          <w:lang w:val="ro-RO"/>
        </w:rPr>
        <w:t>2) valoarea bunului imobil este evaluată pe baza unor criterii de evaluare prudente, care îndeplinesc cumulativ următoarele cerințe:</w:t>
      </w:r>
    </w:p>
    <w:p w14:paraId="68E164AB" w14:textId="77777777" w:rsidR="006F667E" w:rsidRPr="002D468A" w:rsidRDefault="006F667E" w:rsidP="006F667E">
      <w:pPr>
        <w:shd w:val="clear" w:color="auto" w:fill="FFFFFF"/>
        <w:ind w:firstLine="567"/>
        <w:jc w:val="both"/>
        <w:rPr>
          <w:rFonts w:eastAsia="Arial Unicode MS"/>
          <w:color w:val="000000" w:themeColor="text1"/>
          <w:lang w:val="ro-RO"/>
        </w:rPr>
      </w:pPr>
      <w:r w:rsidRPr="002D468A">
        <w:rPr>
          <w:rFonts w:eastAsia="Arial Unicode MS"/>
          <w:color w:val="000000" w:themeColor="text1"/>
          <w:lang w:val="ro-RO"/>
        </w:rPr>
        <w:t>a) valoarea bunului imobil nu ține seama de așteptările de creștere a prețului;</w:t>
      </w:r>
    </w:p>
    <w:p w14:paraId="29DFF5E6" w14:textId="6BA27A13" w:rsidR="006F667E" w:rsidRPr="002D468A" w:rsidRDefault="006F667E" w:rsidP="006F667E">
      <w:pPr>
        <w:shd w:val="clear" w:color="auto" w:fill="FFFFFF"/>
        <w:ind w:firstLine="567"/>
        <w:jc w:val="both"/>
        <w:rPr>
          <w:rFonts w:eastAsia="Arial Unicode MS"/>
          <w:color w:val="000000" w:themeColor="text1"/>
          <w:lang w:val="ro-RO"/>
        </w:rPr>
      </w:pPr>
      <w:r w:rsidRPr="002D468A">
        <w:rPr>
          <w:rFonts w:eastAsia="Arial Unicode MS"/>
          <w:color w:val="000000" w:themeColor="text1"/>
          <w:lang w:val="ro-RO"/>
        </w:rPr>
        <w:t>b) valoarea bunului imobil este ajustată pentru a ține seama de potențialul ca valoarea de piață curentă să fie cu mult peste valoarea care ar fi sustenabilă pe durata creditului;</w:t>
      </w:r>
    </w:p>
    <w:p w14:paraId="0FE9431D" w14:textId="2B9EE1DA" w:rsidR="006F667E" w:rsidRPr="002D468A" w:rsidRDefault="006F667E" w:rsidP="006F667E">
      <w:pPr>
        <w:shd w:val="clear" w:color="auto" w:fill="FFFFFF"/>
        <w:ind w:firstLine="567"/>
        <w:jc w:val="both"/>
        <w:rPr>
          <w:rFonts w:eastAsia="Arial Unicode MS"/>
          <w:color w:val="000000" w:themeColor="text1"/>
          <w:lang w:val="ro-RO"/>
        </w:rPr>
      </w:pPr>
      <w:r w:rsidRPr="002D468A">
        <w:rPr>
          <w:rFonts w:eastAsia="Arial Unicode MS"/>
          <w:color w:val="000000" w:themeColor="text1"/>
          <w:lang w:val="ro-RO"/>
        </w:rPr>
        <w:t>3) valoarea bunului imobil este documentată într-un mod transparent și clar;</w:t>
      </w:r>
    </w:p>
    <w:p w14:paraId="02C058C0" w14:textId="1206CC28" w:rsidR="006F667E" w:rsidRPr="002D468A" w:rsidRDefault="006F667E" w:rsidP="006F667E">
      <w:pPr>
        <w:shd w:val="clear" w:color="auto" w:fill="FFFFFF"/>
        <w:ind w:firstLine="567"/>
        <w:jc w:val="both"/>
        <w:rPr>
          <w:rFonts w:eastAsia="Arial Unicode MS"/>
          <w:color w:val="000000" w:themeColor="text1"/>
          <w:lang w:val="ro-RO"/>
        </w:rPr>
      </w:pPr>
      <w:r w:rsidRPr="002D468A">
        <w:rPr>
          <w:rFonts w:eastAsia="Arial Unicode MS"/>
          <w:color w:val="000000" w:themeColor="text1"/>
          <w:lang w:val="ro-RO"/>
        </w:rPr>
        <w:t>4) valoarea bunului imobil nu este mai mare decât o valoare de piață a bunului imobil, în cazul în care poate fi determinată o astfel de valoare de piață;</w:t>
      </w:r>
    </w:p>
    <w:p w14:paraId="28196D7B" w14:textId="00ED54E5" w:rsidR="006F667E" w:rsidRPr="002D468A" w:rsidRDefault="006F667E" w:rsidP="006F667E">
      <w:pPr>
        <w:shd w:val="clear" w:color="auto" w:fill="FFFFFF"/>
        <w:ind w:firstLine="567"/>
        <w:jc w:val="both"/>
        <w:rPr>
          <w:rFonts w:eastAsia="Arial Unicode MS"/>
          <w:color w:val="000000" w:themeColor="text1"/>
          <w:lang w:val="ro-RO"/>
        </w:rPr>
      </w:pPr>
      <w:r w:rsidRPr="002D468A">
        <w:rPr>
          <w:rFonts w:eastAsia="Arial Unicode MS"/>
          <w:color w:val="000000" w:themeColor="text1"/>
          <w:lang w:val="ro-RO"/>
        </w:rPr>
        <w:t xml:space="preserve">5) în cazul reevaluării bunului imobil, valoarea acestuia nu poate să depășească valoarea medie determinată pentru bunul respectiv, sau pentru un bun imobil comparabil în ultimii șase ani în cazul bunurilor imobile locative ori opt ani în cazul bunurilor imobile comerciale, sau valoarea în momentul inițierii, </w:t>
      </w:r>
      <w:proofErr w:type="spellStart"/>
      <w:r w:rsidRPr="002D468A">
        <w:rPr>
          <w:rFonts w:eastAsia="Arial Unicode MS"/>
          <w:color w:val="000000" w:themeColor="text1"/>
          <w:lang w:val="ro-RO"/>
        </w:rPr>
        <w:t>optându-se</w:t>
      </w:r>
      <w:proofErr w:type="spellEnd"/>
      <w:r w:rsidRPr="002D468A">
        <w:rPr>
          <w:rFonts w:eastAsia="Arial Unicode MS"/>
          <w:color w:val="000000" w:themeColor="text1"/>
          <w:lang w:val="ro-RO"/>
        </w:rPr>
        <w:t xml:space="preserve"> pentru valoarea mai mare dintre cele două.</w:t>
      </w:r>
    </w:p>
    <w:p w14:paraId="7289D635" w14:textId="77777777" w:rsidR="006F667E" w:rsidRPr="002D468A" w:rsidRDefault="006F667E" w:rsidP="006F667E">
      <w:pPr>
        <w:pStyle w:val="norm"/>
        <w:shd w:val="clear" w:color="auto" w:fill="FFFFFF"/>
        <w:spacing w:before="0" w:beforeAutospacing="0" w:after="0" w:afterAutospacing="0" w:line="312" w:lineRule="atLeast"/>
        <w:jc w:val="both"/>
        <w:rPr>
          <w:rFonts w:eastAsia="Arial Unicode MS"/>
          <w:color w:val="000000" w:themeColor="text1"/>
          <w:lang w:val="ro-RO"/>
        </w:rPr>
      </w:pPr>
      <w:r w:rsidRPr="002D468A">
        <w:rPr>
          <w:b/>
          <w:bCs/>
          <w:color w:val="000000" w:themeColor="text1"/>
          <w:lang w:val="ro-RO"/>
        </w:rPr>
        <w:t>107</w:t>
      </w:r>
      <w:r w:rsidRPr="002D468A">
        <w:rPr>
          <w:b/>
          <w:bCs/>
          <w:color w:val="000000" w:themeColor="text1"/>
          <w:vertAlign w:val="superscript"/>
          <w:lang w:val="ro-RO"/>
        </w:rPr>
        <w:t>2</w:t>
      </w:r>
      <w:r w:rsidRPr="002D468A">
        <w:rPr>
          <w:b/>
          <w:bCs/>
          <w:color w:val="000000" w:themeColor="text1"/>
          <w:lang w:val="ro-RO"/>
        </w:rPr>
        <w:t xml:space="preserve">. </w:t>
      </w:r>
      <w:r w:rsidRPr="002D468A">
        <w:rPr>
          <w:rFonts w:eastAsia="Arial Unicode MS"/>
          <w:color w:val="000000" w:themeColor="text1"/>
          <w:lang w:val="ro-RO"/>
        </w:rPr>
        <w:t>În scopul calculării valorii medii, băncile iau în considerare media valorilor bunului imobil observate la intervale egale, iar perioada de referință include cel puțin trei puncte de date.</w:t>
      </w:r>
    </w:p>
    <w:p w14:paraId="2CEBADE2" w14:textId="0DFEC62E" w:rsidR="006F667E" w:rsidRPr="002D468A" w:rsidRDefault="006F667E" w:rsidP="006F667E">
      <w:pPr>
        <w:pStyle w:val="norm"/>
        <w:shd w:val="clear" w:color="auto" w:fill="FFFFFF"/>
        <w:spacing w:before="0" w:beforeAutospacing="0" w:after="0" w:afterAutospacing="0" w:line="312" w:lineRule="atLeast"/>
        <w:jc w:val="both"/>
        <w:rPr>
          <w:rFonts w:eastAsia="Arial Unicode MS"/>
          <w:color w:val="000000" w:themeColor="text1"/>
          <w:lang w:val="ro-RO"/>
        </w:rPr>
      </w:pPr>
      <w:r w:rsidRPr="002D468A">
        <w:rPr>
          <w:rFonts w:eastAsia="Arial Unicode MS"/>
          <w:color w:val="000000" w:themeColor="text1"/>
          <w:lang w:val="ro-RO"/>
        </w:rPr>
        <w:t>În scopul calculării valorii medii, băncile pot utiliza rezultatele monitorizării valorilor bunului imobil efectuate în conformitate cu anexa nr.2 la Regulamentul nr.111/2018. Valoarea bunului imobil poate depăși valoarea medie respectivă sau valoarea în momentul inițierii, după caz, în cazul modificărilor aduse bunului care îi sporesc fără echivoc valoarea, cum ar fi îmbunătățirea performanței energetice sau îmbunătățirea rezilienței, a protecției și a adaptării la riscurile fizice ale clădirii sau ale unității locative. Valoarea bunului imobil nu poate fi reevaluată în sens crescător dacă băncile nu au suficiente date pentru a calcula valoarea medie, cu excepția cazului în care creșterea valorii se bazează pe modificări care sporesc fără echivoc valoarea bunului imobil.</w:t>
      </w:r>
    </w:p>
    <w:p w14:paraId="687A900A" w14:textId="375CD313" w:rsidR="006F667E" w:rsidRPr="002D468A" w:rsidRDefault="006F667E" w:rsidP="006F667E">
      <w:pPr>
        <w:pStyle w:val="norm"/>
        <w:shd w:val="clear" w:color="auto" w:fill="FFFFFF"/>
        <w:spacing w:before="0" w:beforeAutospacing="0" w:after="0" w:afterAutospacing="0" w:line="312" w:lineRule="atLeast"/>
        <w:jc w:val="both"/>
        <w:rPr>
          <w:rFonts w:eastAsia="Arial Unicode MS"/>
          <w:color w:val="000000" w:themeColor="text1"/>
          <w:lang w:val="ro-RO"/>
        </w:rPr>
      </w:pPr>
      <w:r w:rsidRPr="002D468A">
        <w:rPr>
          <w:b/>
          <w:bCs/>
          <w:color w:val="000000" w:themeColor="text1"/>
          <w:lang w:val="ro-RO"/>
        </w:rPr>
        <w:t>107</w:t>
      </w:r>
      <w:r w:rsidRPr="002D468A">
        <w:rPr>
          <w:b/>
          <w:bCs/>
          <w:color w:val="000000" w:themeColor="text1"/>
          <w:vertAlign w:val="superscript"/>
          <w:lang w:val="ro-RO"/>
        </w:rPr>
        <w:t>3</w:t>
      </w:r>
      <w:r w:rsidRPr="002D468A">
        <w:rPr>
          <w:b/>
          <w:bCs/>
          <w:color w:val="000000" w:themeColor="text1"/>
          <w:lang w:val="ro-RO"/>
        </w:rPr>
        <w:t>.</w:t>
      </w:r>
      <w:r w:rsidRPr="002D468A">
        <w:rPr>
          <w:color w:val="000000" w:themeColor="text1"/>
          <w:lang w:val="ro-RO"/>
        </w:rPr>
        <w:t xml:space="preserve"> </w:t>
      </w:r>
      <w:r w:rsidRPr="002D468A">
        <w:rPr>
          <w:rFonts w:eastAsia="Arial Unicode MS"/>
          <w:color w:val="000000" w:themeColor="text1"/>
          <w:lang w:val="ro-RO"/>
        </w:rPr>
        <w:t>Evaluarea bunurilor imobile ține seama de eventualele creanțe anterioare asupra bunurilor imobile, cu excepția cazului în care o creanță anterioară este luată în considerare la calcularea cuantumului brut al expunerii în temeiul</w:t>
      </w:r>
      <w:r w:rsidRPr="002D468A">
        <w:rPr>
          <w:color w:val="000000" w:themeColor="text1"/>
          <w:lang w:val="ro-RO"/>
        </w:rPr>
        <w:t xml:space="preserve"> punctelor 68 subpunctul 3) </w:t>
      </w:r>
      <w:r w:rsidRPr="002D468A">
        <w:rPr>
          <w:rFonts w:eastAsia="Arial Unicode MS"/>
          <w:color w:val="000000" w:themeColor="text1"/>
          <w:lang w:val="ro-RO"/>
        </w:rPr>
        <w:t xml:space="preserve">din Regulamentul nr.111/2018 </w:t>
      </w:r>
      <w:r w:rsidRPr="002D468A">
        <w:rPr>
          <w:rFonts w:eastAsia="Arial Unicode MS"/>
          <w:color w:val="000000" w:themeColor="text1"/>
          <w:lang w:val="ro-RO"/>
        </w:rPr>
        <w:lastRenderedPageBreak/>
        <w:t>sau ca factor ce reduce cuantumul de 55% din valoarea bunului imobil în temeiul Regulamentului nr.111/2018 punctele 69-69</w:t>
      </w:r>
      <w:r w:rsidRPr="002D468A">
        <w:rPr>
          <w:rFonts w:eastAsia="Arial Unicode MS"/>
          <w:color w:val="000000" w:themeColor="text1"/>
          <w:vertAlign w:val="superscript"/>
          <w:lang w:val="ro-RO"/>
        </w:rPr>
        <w:t>3</w:t>
      </w:r>
      <w:r w:rsidRPr="002D468A">
        <w:rPr>
          <w:rFonts w:eastAsia="Arial Unicode MS"/>
          <w:color w:val="000000" w:themeColor="text1"/>
          <w:lang w:val="ro-RO"/>
        </w:rPr>
        <w:t xml:space="preserve"> privind bunurile imobile locative și 71-71</w:t>
      </w:r>
      <w:r w:rsidRPr="002D468A">
        <w:rPr>
          <w:rFonts w:eastAsia="Arial Unicode MS"/>
          <w:color w:val="000000" w:themeColor="text1"/>
          <w:vertAlign w:val="superscript"/>
          <w:lang w:val="ro-RO"/>
        </w:rPr>
        <w:t>3</w:t>
      </w:r>
      <w:r w:rsidRPr="002D468A">
        <w:rPr>
          <w:rFonts w:eastAsia="Arial Unicode MS"/>
          <w:color w:val="000000" w:themeColor="text1"/>
          <w:lang w:val="ro-RO"/>
        </w:rPr>
        <w:t xml:space="preserve"> privind bunurile imobile comerciale, și reflectă, după caz, rezultatele monitorizării impuse în temeiul anexei nr.2 la Regulamentul nr.111/2018.</w:t>
      </w:r>
    </w:p>
    <w:p w14:paraId="40F4C0C6" w14:textId="190833B9" w:rsidR="006F667E" w:rsidRPr="002D468A" w:rsidRDefault="006F667E" w:rsidP="006F667E">
      <w:pPr>
        <w:shd w:val="clear" w:color="auto" w:fill="FFFFFF"/>
        <w:jc w:val="both"/>
        <w:rPr>
          <w:rFonts w:eastAsia="Arial Unicode MS"/>
          <w:color w:val="000000" w:themeColor="text1"/>
          <w:lang w:val="ro-RO"/>
        </w:rPr>
      </w:pPr>
      <w:r w:rsidRPr="002D468A">
        <w:rPr>
          <w:b/>
          <w:bCs/>
          <w:color w:val="000000" w:themeColor="text1"/>
          <w:lang w:val="ro-RO"/>
        </w:rPr>
        <w:t>107</w:t>
      </w:r>
      <w:r w:rsidRPr="002D468A">
        <w:rPr>
          <w:b/>
          <w:bCs/>
          <w:color w:val="000000" w:themeColor="text1"/>
          <w:vertAlign w:val="superscript"/>
          <w:lang w:val="ro-RO"/>
        </w:rPr>
        <w:t>4</w:t>
      </w:r>
      <w:r w:rsidRPr="002D468A">
        <w:rPr>
          <w:b/>
          <w:bCs/>
          <w:color w:val="000000" w:themeColor="text1"/>
          <w:lang w:val="ro-RO"/>
        </w:rPr>
        <w:t>.</w:t>
      </w:r>
      <w:r w:rsidRPr="002D468A">
        <w:rPr>
          <w:rFonts w:eastAsia="Arial Unicode MS"/>
          <w:color w:val="000000" w:themeColor="text1"/>
          <w:lang w:val="ro-RO"/>
        </w:rPr>
        <w:t xml:space="preserve"> În cazul creanțelor, valoarea acestora reprezintă cuantumul de încasat.</w:t>
      </w:r>
    </w:p>
    <w:p w14:paraId="0894506A" w14:textId="38D2F3D0" w:rsidR="006F667E" w:rsidRPr="002D468A" w:rsidRDefault="006F667E" w:rsidP="006F667E">
      <w:pPr>
        <w:shd w:val="clear" w:color="auto" w:fill="FFFFFF"/>
        <w:jc w:val="both"/>
        <w:rPr>
          <w:rFonts w:eastAsia="Arial Unicode MS"/>
          <w:color w:val="000000" w:themeColor="text1"/>
          <w:lang w:val="ro-RO"/>
        </w:rPr>
      </w:pPr>
      <w:r w:rsidRPr="002D468A">
        <w:rPr>
          <w:b/>
          <w:bCs/>
          <w:color w:val="000000" w:themeColor="text1"/>
          <w:lang w:val="ro-RO"/>
        </w:rPr>
        <w:t>107</w:t>
      </w:r>
      <w:r w:rsidRPr="002D468A">
        <w:rPr>
          <w:b/>
          <w:bCs/>
          <w:color w:val="000000" w:themeColor="text1"/>
          <w:vertAlign w:val="superscript"/>
          <w:lang w:val="ro-RO"/>
        </w:rPr>
        <w:t>5</w:t>
      </w:r>
      <w:r w:rsidRPr="002D468A">
        <w:rPr>
          <w:b/>
          <w:bCs/>
          <w:color w:val="000000" w:themeColor="text1"/>
          <w:lang w:val="ro-RO"/>
        </w:rPr>
        <w:t>.</w:t>
      </w:r>
      <w:r w:rsidRPr="002D468A">
        <w:rPr>
          <w:color w:val="000000" w:themeColor="text1"/>
          <w:lang w:val="ro-RO"/>
        </w:rPr>
        <w:t xml:space="preserve"> </w:t>
      </w:r>
      <w:r w:rsidRPr="002D468A">
        <w:rPr>
          <w:rFonts w:eastAsia="Arial Unicode MS"/>
          <w:color w:val="000000" w:themeColor="text1"/>
          <w:lang w:val="ro-RO"/>
        </w:rPr>
        <w:t>Băncile trebuie să evalueze garanțiile reale corporale, altele decât bunurile imobiliare, la valoarea de piață a acestora.</w:t>
      </w:r>
      <w:r w:rsidR="00826588" w:rsidRPr="002D468A">
        <w:rPr>
          <w:rFonts w:eastAsia="Arial Unicode MS"/>
          <w:color w:val="000000" w:themeColor="text1"/>
          <w:lang w:val="ro-RO"/>
        </w:rPr>
        <w:t xml:space="preserve"> În sensul prezentului punct, valoarea de piață reprezintă suma estimată pentru care bunul respectiv ar putea fi schimbat la data evaluării între un cumpărător interesat și un vânzător interesat, în cadrul unei tranzacții încheiate în condiții de concurență deplină.</w:t>
      </w:r>
    </w:p>
    <w:p w14:paraId="3CDD95E0" w14:textId="77777777" w:rsidR="006F667E" w:rsidRPr="002D468A" w:rsidRDefault="006F667E" w:rsidP="006F667E">
      <w:pPr>
        <w:jc w:val="center"/>
        <w:rPr>
          <w:color w:val="000000" w:themeColor="text1"/>
          <w:lang w:val="ro-RO" w:eastAsia="ro-MD"/>
        </w:rPr>
      </w:pPr>
      <w:r w:rsidRPr="002D468A">
        <w:rPr>
          <w:color w:val="000000" w:themeColor="text1"/>
          <w:lang w:val="ro-RO" w:eastAsia="ro-MD"/>
        </w:rPr>
        <w:t> </w:t>
      </w:r>
      <w:r w:rsidRPr="002D468A">
        <w:rPr>
          <w:b/>
          <w:bCs/>
          <w:i/>
          <w:iCs/>
          <w:color w:val="000000" w:themeColor="text1"/>
          <w:lang w:val="ro-RO" w:eastAsia="ro-MD"/>
        </w:rPr>
        <w:t>Secțiunea a 9</w:t>
      </w:r>
      <w:r w:rsidRPr="002D468A">
        <w:rPr>
          <w:b/>
          <w:bCs/>
          <w:i/>
          <w:iCs/>
          <w:color w:val="000000" w:themeColor="text1"/>
          <w:vertAlign w:val="superscript"/>
          <w:lang w:val="ro-RO" w:eastAsia="ro-MD"/>
        </w:rPr>
        <w:t>2</w:t>
      </w:r>
      <w:r w:rsidRPr="002D468A">
        <w:rPr>
          <w:b/>
          <w:bCs/>
          <w:i/>
          <w:iCs/>
          <w:color w:val="000000" w:themeColor="text1"/>
          <w:lang w:val="ro-RO" w:eastAsia="ro-MD"/>
        </w:rPr>
        <w:t>-a</w:t>
      </w:r>
    </w:p>
    <w:p w14:paraId="1BCB8207" w14:textId="77777777" w:rsidR="006F667E" w:rsidRPr="002D468A" w:rsidRDefault="006F667E" w:rsidP="006F667E">
      <w:pPr>
        <w:jc w:val="center"/>
        <w:rPr>
          <w:color w:val="000000" w:themeColor="text1"/>
          <w:lang w:val="ro-RO" w:eastAsia="ro-MD"/>
        </w:rPr>
      </w:pPr>
      <w:r w:rsidRPr="002D468A">
        <w:rPr>
          <w:b/>
          <w:bCs/>
          <w:i/>
          <w:iCs/>
          <w:color w:val="000000" w:themeColor="text1"/>
          <w:lang w:val="ro-RO" w:eastAsia="ro-MD"/>
        </w:rPr>
        <w:t>Calculul cuantumurilor ponderate la risc ale expunerilor și al cuantumurilor pierderilor așteptate pentru o expunere cu o protecție finanțată a creditului eligibilă în cadrul abordării IRB</w:t>
      </w:r>
    </w:p>
    <w:p w14:paraId="6947FD3D" w14:textId="530DD30A" w:rsidR="006F667E" w:rsidRPr="002D468A" w:rsidRDefault="006F667E" w:rsidP="006F667E">
      <w:pPr>
        <w:pStyle w:val="title-article-norm"/>
        <w:shd w:val="clear" w:color="auto" w:fill="FFFFFF"/>
        <w:spacing w:before="0" w:beforeAutospacing="0" w:after="0" w:afterAutospacing="0" w:line="312" w:lineRule="atLeast"/>
        <w:jc w:val="both"/>
        <w:rPr>
          <w:rFonts w:eastAsia="Arial Unicode MS"/>
          <w:i/>
          <w:iCs/>
          <w:color w:val="000000" w:themeColor="text1"/>
          <w:lang w:val="ro-RO"/>
        </w:rPr>
      </w:pPr>
      <w:r w:rsidRPr="002D468A">
        <w:rPr>
          <w:b/>
          <w:bCs/>
          <w:color w:val="000000" w:themeColor="text1"/>
          <w:lang w:val="ro-RO"/>
          <w14:ligatures w14:val="none"/>
        </w:rPr>
        <w:t>107</w:t>
      </w:r>
      <w:r w:rsidRPr="002D468A">
        <w:rPr>
          <w:b/>
          <w:bCs/>
          <w:color w:val="000000" w:themeColor="text1"/>
          <w:vertAlign w:val="superscript"/>
          <w:lang w:val="ro-RO"/>
          <w14:ligatures w14:val="none"/>
        </w:rPr>
        <w:t>6</w:t>
      </w:r>
      <w:r w:rsidRPr="002D468A">
        <w:rPr>
          <w:b/>
          <w:bCs/>
          <w:color w:val="000000" w:themeColor="text1"/>
          <w:lang w:val="ro-RO"/>
          <w14:ligatures w14:val="none"/>
        </w:rPr>
        <w:t xml:space="preserve">. </w:t>
      </w:r>
      <w:r w:rsidRPr="002D468A">
        <w:rPr>
          <w:rFonts w:eastAsia="Arial Unicode MS"/>
          <w:color w:val="000000" w:themeColor="text1"/>
          <w:lang w:val="ro-RO"/>
        </w:rPr>
        <w:t>În cadrul abordării IRB, cu excepția expunerilor care intră sub incidența punctelor 68-72, băncile utilizează pierderea în caz de nerambursare efectivă (LGD*) ca LGD în sensul actului normativ al Băncii Naționale a Moldovei aferent tratamentului riscului de credit potrivit abordării bazate pe modele interne de rating, pentru a</w:t>
      </w:r>
      <w:r w:rsidR="00B11438">
        <w:rPr>
          <w:rFonts w:eastAsia="Arial Unicode MS"/>
          <w:color w:val="000000" w:themeColor="text1"/>
          <w:lang w:val="ro-RO"/>
        </w:rPr>
        <w:t xml:space="preserve"> </w:t>
      </w:r>
      <w:r w:rsidRPr="002D468A">
        <w:rPr>
          <w:rFonts w:eastAsia="Arial Unicode MS"/>
          <w:color w:val="000000" w:themeColor="text1"/>
          <w:lang w:val="ro-RO"/>
        </w:rPr>
        <w:t>recunoaște protecția finanțată a creditului eligibilă în temeiul prezentului regulament. Băncile calculează LGD* după cum urmează:</w:t>
      </w:r>
      <w:r w:rsidRPr="002D468A">
        <w:rPr>
          <w:color w:val="000000" w:themeColor="text1"/>
          <w:sz w:val="18"/>
          <w:szCs w:val="18"/>
          <w:lang w:val="ro-RO"/>
          <w14:ligatures w14:val="none"/>
        </w:rPr>
        <w:t xml:space="preserve"> </w:t>
      </w:r>
    </w:p>
    <w:p w14:paraId="09CAFDEE" w14:textId="77777777" w:rsidR="006F667E" w:rsidRPr="002D468A" w:rsidRDefault="006F667E" w:rsidP="006F667E">
      <w:pPr>
        <w:pStyle w:val="norm"/>
        <w:shd w:val="clear" w:color="auto" w:fill="FFFFFF"/>
        <w:spacing w:before="0" w:beforeAutospacing="0" w:after="0" w:afterAutospacing="0" w:line="312" w:lineRule="atLeast"/>
        <w:jc w:val="both"/>
        <w:rPr>
          <w:rFonts w:eastAsia="Arial Unicode MS"/>
          <w:color w:val="000000" w:themeColor="text1"/>
          <w:lang w:val="ro-RO"/>
        </w:rPr>
      </w:pPr>
      <w:r w:rsidRPr="002D468A">
        <w:rPr>
          <w:b/>
          <w:bCs/>
          <w:noProof/>
          <w:color w:val="000000" w:themeColor="text1"/>
          <w:lang w:val="ro-RO"/>
        </w:rPr>
        <w:drawing>
          <wp:inline distT="0" distB="0" distL="0" distR="0" wp14:anchorId="0B4891DD" wp14:editId="7A108D12">
            <wp:extent cx="3419475" cy="457200"/>
            <wp:effectExtent l="0" t="0" r="0" b="0"/>
            <wp:docPr id="7" name="Picture 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419475" cy="457200"/>
                    </a:xfrm>
                    <a:prstGeom prst="rect">
                      <a:avLst/>
                    </a:prstGeom>
                    <a:noFill/>
                    <a:ln>
                      <a:noFill/>
                    </a:ln>
                  </pic:spPr>
                </pic:pic>
              </a:graphicData>
            </a:graphic>
          </wp:inline>
        </w:drawing>
      </w:r>
    </w:p>
    <w:p w14:paraId="4B7C5519" w14:textId="77777777" w:rsidR="006F667E" w:rsidRPr="002D468A" w:rsidRDefault="006F667E" w:rsidP="006F667E">
      <w:pPr>
        <w:pStyle w:val="norm"/>
        <w:shd w:val="clear" w:color="auto" w:fill="FFFFFF"/>
        <w:spacing w:before="0" w:beforeAutospacing="0" w:after="0" w:afterAutospacing="0" w:line="312" w:lineRule="atLeast"/>
        <w:jc w:val="both"/>
        <w:rPr>
          <w:rFonts w:eastAsia="Arial Unicode MS"/>
          <w:color w:val="000000" w:themeColor="text1"/>
          <w:lang w:val="ro-RO"/>
        </w:rPr>
      </w:pPr>
      <w:r w:rsidRPr="002D468A">
        <w:rPr>
          <w:rFonts w:eastAsia="Arial Unicode MS"/>
          <w:color w:val="000000" w:themeColor="text1"/>
          <w:lang w:val="ro-RO"/>
        </w:rPr>
        <w:t>unde:</w:t>
      </w:r>
    </w:p>
    <w:tbl>
      <w:tblPr>
        <w:tblW w:w="5000" w:type="pct"/>
        <w:tblCellMar>
          <w:left w:w="0" w:type="dxa"/>
          <w:right w:w="0" w:type="dxa"/>
        </w:tblCellMar>
        <w:tblLook w:val="04A0" w:firstRow="1" w:lastRow="0" w:firstColumn="1" w:lastColumn="0" w:noHBand="0" w:noVBand="1"/>
      </w:tblPr>
      <w:tblGrid>
        <w:gridCol w:w="147"/>
        <w:gridCol w:w="9542"/>
      </w:tblGrid>
      <w:tr w:rsidR="000B2CBE" w:rsidRPr="002D468A" w14:paraId="0E2D54C4" w14:textId="77777777" w:rsidTr="008D25C5">
        <w:tc>
          <w:tcPr>
            <w:tcW w:w="0" w:type="auto"/>
            <w:hideMark/>
          </w:tcPr>
          <w:p w14:paraId="7BD97E6A" w14:textId="77777777" w:rsidR="006F667E" w:rsidRPr="002D468A" w:rsidRDefault="006F667E" w:rsidP="008D25C5">
            <w:pPr>
              <w:pStyle w:val="dlist-term"/>
              <w:spacing w:before="0" w:beforeAutospacing="0" w:after="0" w:afterAutospacing="0" w:line="312" w:lineRule="atLeast"/>
              <w:rPr>
                <w:color w:val="000000" w:themeColor="text1"/>
                <w:lang w:val="ro-RO"/>
              </w:rPr>
            </w:pPr>
            <w:r w:rsidRPr="002D468A">
              <w:rPr>
                <w:color w:val="000000" w:themeColor="text1"/>
                <w:lang w:val="ro-RO"/>
              </w:rPr>
              <w:t>E</w:t>
            </w:r>
          </w:p>
        </w:tc>
        <w:tc>
          <w:tcPr>
            <w:tcW w:w="0" w:type="auto"/>
            <w:hideMark/>
          </w:tcPr>
          <w:p w14:paraId="61D39CA5" w14:textId="77777777" w:rsidR="006F667E" w:rsidRPr="002D468A" w:rsidRDefault="006F667E" w:rsidP="008D25C5">
            <w:pPr>
              <w:pStyle w:val="norm"/>
              <w:spacing w:before="0" w:beforeAutospacing="0" w:after="0" w:afterAutospacing="0" w:line="312" w:lineRule="atLeast"/>
              <w:jc w:val="both"/>
              <w:rPr>
                <w:color w:val="000000" w:themeColor="text1"/>
                <w:lang w:val="ro-RO"/>
              </w:rPr>
            </w:pPr>
            <w:r w:rsidRPr="002D468A">
              <w:rPr>
                <w:color w:val="000000" w:themeColor="text1"/>
                <w:lang w:val="ro-RO"/>
              </w:rPr>
              <w:t>= valoarea expunerii înainte de a se lua în considerare efectul protecției finanțate a creditului; pentru o expunere garantată cu o garanție financiară eligibilă în conformitate cu prezentul regulament, cuantumul respectiv se calculează în conformitate cu punctele 89-90; în cazul titlurilor de valoare date cu împrumut sau furnizate drept garanție, cuantumul respectiv este egal cu numerarul dat cu împrumut sau cu titlurile de valoare date cu împrumut sau furnizate drept garanție; în cazul titlurilor de valoare date cu împrumut sau furnizate drept garanție, valoarea expunerii se majorează prin aplicarea ajustării de volatilitate (H</w:t>
            </w:r>
            <w:r w:rsidRPr="002D468A">
              <w:rPr>
                <w:rStyle w:val="subscript"/>
                <w:color w:val="000000" w:themeColor="text1"/>
                <w:vertAlign w:val="subscript"/>
                <w:lang w:val="ro-RO"/>
              </w:rPr>
              <w:t>E</w:t>
            </w:r>
            <w:r w:rsidRPr="002D468A">
              <w:rPr>
                <w:color w:val="000000" w:themeColor="text1"/>
                <w:lang w:val="ro-RO"/>
              </w:rPr>
              <w:t>) în conformitate cu secțiunile 5 – 8 din prezentul capitol;</w:t>
            </w:r>
          </w:p>
        </w:tc>
      </w:tr>
    </w:tbl>
    <w:p w14:paraId="7C19891D" w14:textId="77777777" w:rsidR="006F667E" w:rsidRPr="002D468A" w:rsidRDefault="006F667E" w:rsidP="006F667E">
      <w:pPr>
        <w:shd w:val="clear" w:color="auto" w:fill="FFFFFF"/>
        <w:rPr>
          <w:rFonts w:eastAsia="Arial Unicode MS"/>
          <w:vanish/>
          <w:color w:val="000000" w:themeColor="text1"/>
          <w:lang w:val="ro-RO"/>
        </w:rPr>
      </w:pPr>
    </w:p>
    <w:tbl>
      <w:tblPr>
        <w:tblW w:w="5000" w:type="pct"/>
        <w:tblCellMar>
          <w:left w:w="0" w:type="dxa"/>
          <w:right w:w="0" w:type="dxa"/>
        </w:tblCellMar>
        <w:tblLook w:val="04A0" w:firstRow="1" w:lastRow="0" w:firstColumn="1" w:lastColumn="0" w:noHBand="0" w:noVBand="1"/>
      </w:tblPr>
      <w:tblGrid>
        <w:gridCol w:w="236"/>
        <w:gridCol w:w="9453"/>
      </w:tblGrid>
      <w:tr w:rsidR="000B2CBE" w:rsidRPr="002D468A" w14:paraId="44DD483E" w14:textId="77777777" w:rsidTr="008D25C5">
        <w:tc>
          <w:tcPr>
            <w:tcW w:w="0" w:type="auto"/>
            <w:hideMark/>
          </w:tcPr>
          <w:p w14:paraId="7AAE1A4A" w14:textId="77777777" w:rsidR="006F667E" w:rsidRPr="002D468A" w:rsidRDefault="006F667E" w:rsidP="008D25C5">
            <w:pPr>
              <w:pStyle w:val="dlist-term"/>
              <w:spacing w:before="0" w:beforeAutospacing="0" w:after="0" w:afterAutospacing="0" w:line="312" w:lineRule="atLeast"/>
              <w:rPr>
                <w:color w:val="000000" w:themeColor="text1"/>
                <w:lang w:val="ro-RO"/>
              </w:rPr>
            </w:pPr>
            <w:r w:rsidRPr="002D468A">
              <w:rPr>
                <w:color w:val="000000" w:themeColor="text1"/>
                <w:lang w:val="ro-RO"/>
              </w:rPr>
              <w:t>E</w:t>
            </w:r>
            <w:r w:rsidRPr="002D468A">
              <w:rPr>
                <w:rStyle w:val="subscript"/>
                <w:color w:val="000000" w:themeColor="text1"/>
                <w:vertAlign w:val="subscript"/>
                <w:lang w:val="ro-RO"/>
              </w:rPr>
              <w:t>S</w:t>
            </w:r>
          </w:p>
        </w:tc>
        <w:tc>
          <w:tcPr>
            <w:tcW w:w="0" w:type="auto"/>
            <w:hideMark/>
          </w:tcPr>
          <w:p w14:paraId="0433735C" w14:textId="2F76516D" w:rsidR="006F667E" w:rsidRPr="002D468A" w:rsidRDefault="006F667E" w:rsidP="008D25C5">
            <w:pPr>
              <w:pStyle w:val="norm"/>
              <w:spacing w:before="0" w:beforeAutospacing="0" w:after="0" w:afterAutospacing="0" w:line="312" w:lineRule="atLeast"/>
              <w:jc w:val="both"/>
              <w:rPr>
                <w:color w:val="000000" w:themeColor="text1"/>
                <w:lang w:val="ro-RO"/>
              </w:rPr>
            </w:pPr>
            <w:r w:rsidRPr="002D468A">
              <w:rPr>
                <w:color w:val="000000" w:themeColor="text1"/>
                <w:lang w:val="ro-RO"/>
              </w:rPr>
              <w:t>= valoarea curentă a protecției finanțate a creditului primite după aplicarea ajustării de volatilitate aplicabile tipului respectiv de protecție finanțată a creditului (H</w:t>
            </w:r>
            <w:r w:rsidRPr="002D468A">
              <w:rPr>
                <w:rStyle w:val="subscript"/>
                <w:color w:val="000000" w:themeColor="text1"/>
                <w:vertAlign w:val="subscript"/>
                <w:lang w:val="ro-RO"/>
              </w:rPr>
              <w:t>C</w:t>
            </w:r>
            <w:r w:rsidRPr="002D468A">
              <w:rPr>
                <w:color w:val="000000" w:themeColor="text1"/>
                <w:lang w:val="ro-RO"/>
              </w:rPr>
              <w:t>) și a ajustării de volatilitate pentru neconcordanțele de monede (</w:t>
            </w:r>
            <w:proofErr w:type="spellStart"/>
            <w:r w:rsidRPr="002D468A">
              <w:rPr>
                <w:color w:val="000000" w:themeColor="text1"/>
                <w:lang w:val="ro-RO"/>
              </w:rPr>
              <w:t>H</w:t>
            </w:r>
            <w:r w:rsidRPr="002D468A">
              <w:rPr>
                <w:rStyle w:val="subscript"/>
                <w:color w:val="000000" w:themeColor="text1"/>
                <w:vertAlign w:val="subscript"/>
                <w:lang w:val="ro-RO"/>
              </w:rPr>
              <w:t>fx</w:t>
            </w:r>
            <w:proofErr w:type="spellEnd"/>
            <w:r w:rsidRPr="002D468A">
              <w:rPr>
                <w:color w:val="000000" w:themeColor="text1"/>
                <w:lang w:val="ro-RO"/>
              </w:rPr>
              <w:t>) dintre expunere și protecția finanțată a creditului, în conformitate cu punctele 107</w:t>
            </w:r>
            <w:r w:rsidRPr="002D468A">
              <w:rPr>
                <w:color w:val="000000" w:themeColor="text1"/>
                <w:vertAlign w:val="superscript"/>
                <w:lang w:val="ro-RO"/>
              </w:rPr>
              <w:t>7</w:t>
            </w:r>
            <w:r w:rsidRPr="002D468A">
              <w:rPr>
                <w:color w:val="000000" w:themeColor="text1"/>
                <w:lang w:val="ro-RO"/>
              </w:rPr>
              <w:t>-107</w:t>
            </w:r>
            <w:r w:rsidRPr="002D468A">
              <w:rPr>
                <w:color w:val="000000" w:themeColor="text1"/>
                <w:vertAlign w:val="superscript"/>
                <w:lang w:val="ro-RO"/>
              </w:rPr>
              <w:t>8</w:t>
            </w:r>
            <w:r w:rsidRPr="002D468A">
              <w:rPr>
                <w:color w:val="000000" w:themeColor="text1"/>
                <w:lang w:val="ro-RO"/>
              </w:rPr>
              <w:t>; E</w:t>
            </w:r>
            <w:r w:rsidRPr="002D468A">
              <w:rPr>
                <w:rStyle w:val="subscript"/>
                <w:color w:val="000000" w:themeColor="text1"/>
                <w:vertAlign w:val="subscript"/>
                <w:lang w:val="ro-RO"/>
              </w:rPr>
              <w:t>S</w:t>
            </w:r>
            <w:r w:rsidRPr="002D468A">
              <w:rPr>
                <w:color w:val="000000" w:themeColor="text1"/>
                <w:lang w:val="ro-RO"/>
              </w:rPr>
              <w:t> se plafonează la următoarea valoare: E·(1+H</w:t>
            </w:r>
            <w:r w:rsidRPr="002D468A">
              <w:rPr>
                <w:rStyle w:val="subscript"/>
                <w:color w:val="000000" w:themeColor="text1"/>
                <w:vertAlign w:val="subscript"/>
                <w:lang w:val="ro-RO"/>
              </w:rPr>
              <w:t>E</w:t>
            </w:r>
            <w:r w:rsidRPr="002D468A">
              <w:rPr>
                <w:color w:val="000000" w:themeColor="text1"/>
                <w:lang w:val="ro-RO"/>
              </w:rPr>
              <w:t>);</w:t>
            </w:r>
          </w:p>
        </w:tc>
      </w:tr>
    </w:tbl>
    <w:p w14:paraId="782958B9" w14:textId="77777777" w:rsidR="006F667E" w:rsidRPr="002D468A" w:rsidRDefault="006F667E" w:rsidP="006F667E">
      <w:pPr>
        <w:shd w:val="clear" w:color="auto" w:fill="FFFFFF"/>
        <w:rPr>
          <w:rFonts w:eastAsia="Arial Unicode MS"/>
          <w:vanish/>
          <w:color w:val="000000" w:themeColor="text1"/>
          <w:lang w:val="ro-RO"/>
        </w:rPr>
      </w:pPr>
    </w:p>
    <w:tbl>
      <w:tblPr>
        <w:tblW w:w="5000" w:type="pct"/>
        <w:tblCellMar>
          <w:left w:w="0" w:type="dxa"/>
          <w:right w:w="0" w:type="dxa"/>
        </w:tblCellMar>
        <w:tblLook w:val="04A0" w:firstRow="1" w:lastRow="0" w:firstColumn="1" w:lastColumn="0" w:noHBand="0" w:noVBand="1"/>
      </w:tblPr>
      <w:tblGrid>
        <w:gridCol w:w="734"/>
        <w:gridCol w:w="8955"/>
      </w:tblGrid>
      <w:tr w:rsidR="000B2CBE" w:rsidRPr="002D468A" w14:paraId="5F7DF2BE" w14:textId="77777777" w:rsidTr="008D25C5">
        <w:tc>
          <w:tcPr>
            <w:tcW w:w="379" w:type="pct"/>
            <w:hideMark/>
          </w:tcPr>
          <w:p w14:paraId="653DA81E" w14:textId="77777777" w:rsidR="006F667E" w:rsidRPr="002D468A" w:rsidRDefault="006F667E" w:rsidP="008D25C5">
            <w:pPr>
              <w:pStyle w:val="dlist-term"/>
              <w:spacing w:before="0" w:beforeAutospacing="0" w:after="0" w:afterAutospacing="0" w:line="312" w:lineRule="atLeast"/>
              <w:rPr>
                <w:color w:val="000000" w:themeColor="text1"/>
                <w:lang w:val="ro-RO"/>
              </w:rPr>
            </w:pPr>
            <w:r w:rsidRPr="002D468A">
              <w:rPr>
                <w:color w:val="000000" w:themeColor="text1"/>
                <w:lang w:val="ro-RO"/>
              </w:rPr>
              <w:t>E</w:t>
            </w:r>
            <w:r w:rsidRPr="002D468A">
              <w:rPr>
                <w:rStyle w:val="subscript"/>
                <w:color w:val="000000" w:themeColor="text1"/>
                <w:vertAlign w:val="subscript"/>
                <w:lang w:val="ro-RO"/>
              </w:rPr>
              <w:t>U</w:t>
            </w:r>
          </w:p>
        </w:tc>
        <w:tc>
          <w:tcPr>
            <w:tcW w:w="4621" w:type="pct"/>
            <w:hideMark/>
          </w:tcPr>
          <w:p w14:paraId="09676AEE" w14:textId="77777777" w:rsidR="006F667E" w:rsidRPr="002D468A" w:rsidRDefault="006F667E" w:rsidP="008D25C5">
            <w:pPr>
              <w:pStyle w:val="norm"/>
              <w:spacing w:before="0" w:beforeAutospacing="0" w:after="0" w:afterAutospacing="0" w:line="312" w:lineRule="atLeast"/>
              <w:jc w:val="both"/>
              <w:rPr>
                <w:color w:val="000000" w:themeColor="text1"/>
                <w:lang w:val="ro-RO"/>
              </w:rPr>
            </w:pPr>
            <w:r w:rsidRPr="002D468A">
              <w:rPr>
                <w:color w:val="000000" w:themeColor="text1"/>
                <w:lang w:val="ro-RO"/>
              </w:rPr>
              <w:t>= E·(1+H</w:t>
            </w:r>
            <w:r w:rsidRPr="002D468A">
              <w:rPr>
                <w:rStyle w:val="subscript"/>
                <w:color w:val="000000" w:themeColor="text1"/>
                <w:vertAlign w:val="subscript"/>
                <w:lang w:val="ro-RO"/>
              </w:rPr>
              <w:t>E</w:t>
            </w:r>
            <w:r w:rsidRPr="002D468A">
              <w:rPr>
                <w:color w:val="000000" w:themeColor="text1"/>
                <w:lang w:val="ro-RO"/>
              </w:rPr>
              <w:t>) – E</w:t>
            </w:r>
            <w:r w:rsidRPr="002D468A">
              <w:rPr>
                <w:rStyle w:val="subscript"/>
                <w:color w:val="000000" w:themeColor="text1"/>
                <w:vertAlign w:val="subscript"/>
                <w:lang w:val="ro-RO"/>
              </w:rPr>
              <w:t>S</w:t>
            </w:r>
            <w:r w:rsidRPr="002D468A">
              <w:rPr>
                <w:color w:val="000000" w:themeColor="text1"/>
                <w:lang w:val="ro-RO"/>
              </w:rPr>
              <w:t>;</w:t>
            </w:r>
          </w:p>
        </w:tc>
      </w:tr>
    </w:tbl>
    <w:p w14:paraId="7DD64B65" w14:textId="77777777" w:rsidR="006F667E" w:rsidRPr="002D468A" w:rsidRDefault="006F667E" w:rsidP="006F667E">
      <w:pPr>
        <w:shd w:val="clear" w:color="auto" w:fill="FFFFFF"/>
        <w:rPr>
          <w:rFonts w:eastAsia="Arial Unicode MS"/>
          <w:vanish/>
          <w:color w:val="000000" w:themeColor="text1"/>
          <w:lang w:val="ro-RO"/>
        </w:rPr>
      </w:pPr>
    </w:p>
    <w:tbl>
      <w:tblPr>
        <w:tblW w:w="5000" w:type="pct"/>
        <w:tblCellMar>
          <w:left w:w="0" w:type="dxa"/>
          <w:right w:w="0" w:type="dxa"/>
        </w:tblCellMar>
        <w:tblLook w:val="04A0" w:firstRow="1" w:lastRow="0" w:firstColumn="1" w:lastColumn="0" w:noHBand="0" w:noVBand="1"/>
      </w:tblPr>
      <w:tblGrid>
        <w:gridCol w:w="609"/>
        <w:gridCol w:w="9080"/>
      </w:tblGrid>
      <w:tr w:rsidR="000B2CBE" w:rsidRPr="002D468A" w14:paraId="30E4DB41" w14:textId="77777777" w:rsidTr="008D25C5">
        <w:tc>
          <w:tcPr>
            <w:tcW w:w="0" w:type="auto"/>
            <w:hideMark/>
          </w:tcPr>
          <w:p w14:paraId="211762DF" w14:textId="77777777" w:rsidR="006F667E" w:rsidRPr="002D468A" w:rsidRDefault="006F667E" w:rsidP="008D25C5">
            <w:pPr>
              <w:pStyle w:val="dlist-term"/>
              <w:spacing w:before="0" w:beforeAutospacing="0" w:after="0" w:afterAutospacing="0" w:line="312" w:lineRule="atLeast"/>
              <w:rPr>
                <w:color w:val="000000" w:themeColor="text1"/>
                <w:lang w:val="ro-RO"/>
              </w:rPr>
            </w:pPr>
            <w:r w:rsidRPr="002D468A">
              <w:rPr>
                <w:color w:val="000000" w:themeColor="text1"/>
                <w:lang w:val="ro-RO"/>
              </w:rPr>
              <w:t>LGD</w:t>
            </w:r>
            <w:r w:rsidRPr="002D468A">
              <w:rPr>
                <w:rStyle w:val="subscript"/>
                <w:color w:val="000000" w:themeColor="text1"/>
                <w:vertAlign w:val="subscript"/>
                <w:lang w:val="ro-RO"/>
              </w:rPr>
              <w:t>U</w:t>
            </w:r>
          </w:p>
        </w:tc>
        <w:tc>
          <w:tcPr>
            <w:tcW w:w="0" w:type="auto"/>
            <w:hideMark/>
          </w:tcPr>
          <w:p w14:paraId="1938BE2F" w14:textId="18FED3E9" w:rsidR="006F667E" w:rsidRPr="002D468A" w:rsidRDefault="006F667E" w:rsidP="008D25C5">
            <w:pPr>
              <w:pStyle w:val="norm"/>
              <w:spacing w:before="0" w:beforeAutospacing="0" w:after="0" w:afterAutospacing="0" w:line="312" w:lineRule="atLeast"/>
              <w:jc w:val="both"/>
              <w:rPr>
                <w:color w:val="000000" w:themeColor="text1"/>
                <w:lang w:val="ro-RO"/>
              </w:rPr>
            </w:pPr>
            <w:r w:rsidRPr="002D468A">
              <w:rPr>
                <w:color w:val="000000" w:themeColor="text1"/>
                <w:lang w:val="ro-RO"/>
              </w:rPr>
              <w:t xml:space="preserve">= LGD aplicabilă pentru o expunere negarantată, astfel cum se prevede în </w:t>
            </w:r>
            <w:bookmarkStart w:id="5" w:name="_Hlk213132908"/>
            <w:r w:rsidRPr="002D468A">
              <w:rPr>
                <w:color w:val="000000" w:themeColor="text1"/>
                <w:lang w:val="ro-RO"/>
              </w:rPr>
              <w:t>actul normativ al Băncii Naționale a Moldovei aferent tratamentului riscului de credit potrivit abordării bazate pe modele interne de rating</w:t>
            </w:r>
            <w:bookmarkEnd w:id="5"/>
            <w:r w:rsidRPr="002D468A">
              <w:rPr>
                <w:color w:val="000000" w:themeColor="text1"/>
                <w:sz w:val="18"/>
                <w:szCs w:val="18"/>
                <w:lang w:val="ro-RO"/>
              </w:rPr>
              <w:t>;</w:t>
            </w:r>
          </w:p>
        </w:tc>
      </w:tr>
    </w:tbl>
    <w:p w14:paraId="56BC1FB5" w14:textId="77777777" w:rsidR="006F667E" w:rsidRPr="002D468A" w:rsidRDefault="006F667E" w:rsidP="006F667E">
      <w:pPr>
        <w:shd w:val="clear" w:color="auto" w:fill="FFFFFF"/>
        <w:rPr>
          <w:rFonts w:eastAsia="Arial Unicode MS"/>
          <w:vanish/>
          <w:color w:val="000000" w:themeColor="text1"/>
          <w:lang w:val="ro-RO"/>
        </w:rPr>
      </w:pPr>
    </w:p>
    <w:tbl>
      <w:tblPr>
        <w:tblW w:w="5000" w:type="pct"/>
        <w:tblCellMar>
          <w:left w:w="0" w:type="dxa"/>
          <w:right w:w="0" w:type="dxa"/>
        </w:tblCellMar>
        <w:tblLook w:val="04A0" w:firstRow="1" w:lastRow="0" w:firstColumn="1" w:lastColumn="0" w:noHBand="0" w:noVBand="1"/>
      </w:tblPr>
      <w:tblGrid>
        <w:gridCol w:w="583"/>
        <w:gridCol w:w="9106"/>
      </w:tblGrid>
      <w:tr w:rsidR="000B2CBE" w:rsidRPr="002D468A" w14:paraId="7EAC699D" w14:textId="77777777" w:rsidTr="008D25C5">
        <w:tc>
          <w:tcPr>
            <w:tcW w:w="0" w:type="auto"/>
            <w:hideMark/>
          </w:tcPr>
          <w:p w14:paraId="0A194D75" w14:textId="77777777" w:rsidR="006F667E" w:rsidRPr="002D468A" w:rsidRDefault="006F667E" w:rsidP="008D25C5">
            <w:pPr>
              <w:pStyle w:val="dlist-term"/>
              <w:spacing w:before="0" w:beforeAutospacing="0" w:after="0" w:afterAutospacing="0" w:line="312" w:lineRule="atLeast"/>
              <w:rPr>
                <w:color w:val="000000" w:themeColor="text1"/>
                <w:lang w:val="ro-RO"/>
              </w:rPr>
            </w:pPr>
            <w:r w:rsidRPr="002D468A">
              <w:rPr>
                <w:color w:val="000000" w:themeColor="text1"/>
                <w:lang w:val="ro-RO"/>
              </w:rPr>
              <w:t>LGD</w:t>
            </w:r>
            <w:r w:rsidRPr="002D468A">
              <w:rPr>
                <w:rStyle w:val="subscript"/>
                <w:color w:val="000000" w:themeColor="text1"/>
                <w:vertAlign w:val="subscript"/>
                <w:lang w:val="ro-RO"/>
              </w:rPr>
              <w:t>S</w:t>
            </w:r>
          </w:p>
        </w:tc>
        <w:tc>
          <w:tcPr>
            <w:tcW w:w="0" w:type="auto"/>
            <w:hideMark/>
          </w:tcPr>
          <w:p w14:paraId="07BD27CC" w14:textId="58DFE6FF" w:rsidR="006F667E" w:rsidRPr="002D468A" w:rsidRDefault="006F667E" w:rsidP="008D25C5">
            <w:pPr>
              <w:pStyle w:val="norm"/>
              <w:spacing w:before="0" w:beforeAutospacing="0" w:after="0" w:afterAutospacing="0" w:line="312" w:lineRule="atLeast"/>
              <w:jc w:val="both"/>
              <w:rPr>
                <w:color w:val="000000" w:themeColor="text1"/>
                <w:lang w:val="ro-RO"/>
              </w:rPr>
            </w:pPr>
            <w:r w:rsidRPr="002D468A">
              <w:rPr>
                <w:color w:val="000000" w:themeColor="text1"/>
                <w:lang w:val="ro-RO"/>
              </w:rPr>
              <w:t>= LGD aplicabilă expunerilor garantate de tipul de</w:t>
            </w:r>
            <w:r w:rsidR="000E1446" w:rsidRPr="002D468A">
              <w:t xml:space="preserve"> </w:t>
            </w:r>
            <w:r w:rsidR="000E1446" w:rsidRPr="002D468A">
              <w:rPr>
                <w:color w:val="000000" w:themeColor="text1"/>
                <w:lang w:val="ro-RO"/>
              </w:rPr>
              <w:t>protecție finanțată a creditului</w:t>
            </w:r>
            <w:r w:rsidRPr="002D468A">
              <w:rPr>
                <w:color w:val="000000" w:themeColor="text1"/>
                <w:lang w:val="ro-RO"/>
              </w:rPr>
              <w:t xml:space="preserve"> </w:t>
            </w:r>
            <w:r w:rsidR="000E1446" w:rsidRPr="002D468A">
              <w:rPr>
                <w:color w:val="000000" w:themeColor="text1"/>
                <w:lang w:val="ro-RO"/>
              </w:rPr>
              <w:t>(</w:t>
            </w:r>
            <w:r w:rsidRPr="002D468A">
              <w:rPr>
                <w:color w:val="000000" w:themeColor="text1"/>
                <w:lang w:val="ro-RO"/>
              </w:rPr>
              <w:t>FCP</w:t>
            </w:r>
            <w:r w:rsidR="000E1446" w:rsidRPr="002D468A">
              <w:rPr>
                <w:color w:val="000000" w:themeColor="text1"/>
                <w:lang w:val="ro-RO"/>
              </w:rPr>
              <w:t>)</w:t>
            </w:r>
            <w:r w:rsidRPr="002D468A">
              <w:rPr>
                <w:color w:val="000000" w:themeColor="text1"/>
                <w:lang w:val="ro-RO"/>
              </w:rPr>
              <w:t xml:space="preserve"> eligibilă utilizată în tranzacție, astfel cum se specifică</w:t>
            </w:r>
            <w:r w:rsidR="00FB709D" w:rsidRPr="002D468A">
              <w:rPr>
                <w:color w:val="000000" w:themeColor="text1"/>
                <w:lang w:val="ro-RO"/>
              </w:rPr>
              <w:t xml:space="preserve"> în tabelul nr.5</w:t>
            </w:r>
            <w:r w:rsidRPr="002D468A">
              <w:rPr>
                <w:color w:val="000000" w:themeColor="text1"/>
                <w:lang w:val="ro-RO"/>
              </w:rPr>
              <w:t>.</w:t>
            </w:r>
          </w:p>
        </w:tc>
      </w:tr>
    </w:tbl>
    <w:p w14:paraId="375CA831" w14:textId="5FC3A2D9" w:rsidR="006F667E" w:rsidRPr="002D468A" w:rsidRDefault="006F667E" w:rsidP="006F667E">
      <w:pPr>
        <w:shd w:val="clear" w:color="auto" w:fill="FFFFFF"/>
        <w:rPr>
          <w:rFonts w:eastAsia="Arial Unicode MS"/>
          <w:color w:val="000000" w:themeColor="text1"/>
          <w:lang w:val="ro-RO"/>
        </w:rPr>
      </w:pPr>
      <w:r w:rsidRPr="002D468A">
        <w:rPr>
          <w:b/>
          <w:bCs/>
          <w:color w:val="000000" w:themeColor="text1"/>
          <w:lang w:val="ro-RO"/>
        </w:rPr>
        <w:t>107</w:t>
      </w:r>
      <w:r w:rsidRPr="002D468A">
        <w:rPr>
          <w:b/>
          <w:bCs/>
          <w:color w:val="000000" w:themeColor="text1"/>
          <w:vertAlign w:val="superscript"/>
          <w:lang w:val="ro-RO"/>
        </w:rPr>
        <w:t>7</w:t>
      </w:r>
      <w:r w:rsidRPr="002D468A">
        <w:rPr>
          <w:b/>
          <w:bCs/>
          <w:color w:val="000000" w:themeColor="text1"/>
          <w:lang w:val="ro-RO"/>
        </w:rPr>
        <w:t xml:space="preserve">. </w:t>
      </w:r>
      <w:r w:rsidRPr="002D468A">
        <w:rPr>
          <w:rFonts w:eastAsia="Arial Unicode MS"/>
          <w:color w:val="000000" w:themeColor="text1"/>
          <w:lang w:val="ro-RO"/>
        </w:rPr>
        <w:t>În tabelul nr.5 se specifică valorile LGD</w:t>
      </w:r>
      <w:r w:rsidRPr="002D468A">
        <w:rPr>
          <w:rStyle w:val="subscript"/>
          <w:rFonts w:eastAsia="Arial Unicode MS"/>
          <w:color w:val="000000" w:themeColor="text1"/>
          <w:vertAlign w:val="subscript"/>
          <w:lang w:val="ro-RO"/>
        </w:rPr>
        <w:t>S</w:t>
      </w:r>
      <w:r w:rsidRPr="002D468A">
        <w:rPr>
          <w:rFonts w:eastAsia="Arial Unicode MS"/>
          <w:color w:val="000000" w:themeColor="text1"/>
          <w:lang w:val="ro-RO"/>
        </w:rPr>
        <w:t xml:space="preserve"> și H</w:t>
      </w:r>
      <w:r w:rsidRPr="002D468A">
        <w:rPr>
          <w:rStyle w:val="subscript"/>
          <w:rFonts w:eastAsia="Arial Unicode MS"/>
          <w:color w:val="000000" w:themeColor="text1"/>
          <w:vertAlign w:val="subscript"/>
          <w:lang w:val="ro-RO"/>
        </w:rPr>
        <w:t>c</w:t>
      </w:r>
      <w:r w:rsidRPr="002D468A">
        <w:rPr>
          <w:rFonts w:eastAsia="Arial Unicode MS"/>
          <w:color w:val="000000" w:themeColor="text1"/>
          <w:lang w:val="ro-RO"/>
        </w:rPr>
        <w:t xml:space="preserve"> aplicabile în formula stabilită la punctul 107</w:t>
      </w:r>
      <w:r w:rsidRPr="002D468A">
        <w:rPr>
          <w:rFonts w:eastAsia="Arial Unicode MS"/>
          <w:color w:val="000000" w:themeColor="text1"/>
          <w:vertAlign w:val="superscript"/>
          <w:lang w:val="ro-RO"/>
        </w:rPr>
        <w:t>6</w:t>
      </w:r>
      <w:r w:rsidRPr="002D468A">
        <w:rPr>
          <w:rFonts w:eastAsia="Arial Unicode MS"/>
          <w:color w:val="000000" w:themeColor="text1"/>
          <w:lang w:val="ro-RO"/>
        </w:rPr>
        <w:t>.</w:t>
      </w:r>
    </w:p>
    <w:p w14:paraId="78AD38E3" w14:textId="77777777" w:rsidR="006F667E" w:rsidRPr="002D468A" w:rsidRDefault="006F667E" w:rsidP="006F667E">
      <w:pPr>
        <w:pStyle w:val="title-table"/>
        <w:shd w:val="clear" w:color="auto" w:fill="FFFFFF"/>
        <w:spacing w:before="0" w:beforeAutospacing="0" w:after="120" w:afterAutospacing="0" w:line="312" w:lineRule="atLeast"/>
        <w:ind w:right="566"/>
        <w:jc w:val="right"/>
        <w:rPr>
          <w:rFonts w:eastAsia="Arial Unicode MS"/>
          <w:b/>
          <w:bCs/>
          <w:color w:val="000000" w:themeColor="text1"/>
          <w:lang w:val="ro-RO"/>
        </w:rPr>
      </w:pPr>
      <w:r w:rsidRPr="002D468A">
        <w:rPr>
          <w:rFonts w:eastAsia="Arial Unicode MS"/>
          <w:b/>
          <w:bCs/>
          <w:color w:val="000000" w:themeColor="text1"/>
          <w:lang w:val="ro-RO"/>
        </w:rPr>
        <w:t>Tabelul nr.5</w:t>
      </w:r>
    </w:p>
    <w:tbl>
      <w:tblPr>
        <w:tblW w:w="9415"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160"/>
        <w:gridCol w:w="670"/>
        <w:gridCol w:w="4585"/>
      </w:tblGrid>
      <w:tr w:rsidR="000B2CBE" w:rsidRPr="002D468A" w14:paraId="7C28EFE5" w14:textId="77777777" w:rsidTr="008D25C5">
        <w:trPr>
          <w:jc w:val="center"/>
        </w:trPr>
        <w:tc>
          <w:tcPr>
            <w:tcW w:w="0" w:type="auto"/>
            <w:tcBorders>
              <w:top w:val="outset" w:sz="6" w:space="0" w:color="auto"/>
              <w:left w:val="outset" w:sz="6" w:space="0" w:color="auto"/>
              <w:bottom w:val="outset" w:sz="6" w:space="0" w:color="auto"/>
              <w:right w:val="outset" w:sz="6" w:space="0" w:color="auto"/>
            </w:tcBorders>
            <w:hideMark/>
          </w:tcPr>
          <w:p w14:paraId="286C5B8C" w14:textId="2F67DF9C" w:rsidR="006F667E" w:rsidRPr="002D468A" w:rsidRDefault="006F667E" w:rsidP="008D25C5">
            <w:pPr>
              <w:pStyle w:val="tbl-norm"/>
              <w:spacing w:before="0" w:beforeAutospacing="0" w:after="0" w:afterAutospacing="0" w:line="312" w:lineRule="atLeast"/>
              <w:jc w:val="both"/>
              <w:rPr>
                <w:b/>
                <w:bCs/>
                <w:color w:val="000000" w:themeColor="text1"/>
                <w:lang w:val="ro-RO"/>
              </w:rPr>
            </w:pPr>
            <w:r w:rsidRPr="002D468A">
              <w:rPr>
                <w:b/>
                <w:bCs/>
                <w:color w:val="000000" w:themeColor="text1"/>
                <w:lang w:val="ro-RO"/>
              </w:rPr>
              <w:t xml:space="preserve">Tipul de </w:t>
            </w:r>
            <w:r w:rsidR="001D4B0D" w:rsidRPr="002D468A">
              <w:rPr>
                <w:b/>
                <w:bCs/>
                <w:color w:val="000000" w:themeColor="text1"/>
                <w:lang w:val="ro-RO"/>
              </w:rPr>
              <w:t>protecție finanțată a creditului (</w:t>
            </w:r>
            <w:r w:rsidRPr="002D468A">
              <w:rPr>
                <w:b/>
                <w:bCs/>
                <w:color w:val="000000" w:themeColor="text1"/>
                <w:lang w:val="ro-RO"/>
              </w:rPr>
              <w:t>FCP</w:t>
            </w:r>
            <w:r w:rsidR="001D4B0D" w:rsidRPr="002D468A">
              <w:rPr>
                <w:b/>
                <w:bCs/>
                <w:color w:val="000000" w:themeColor="text1"/>
                <w:lang w:val="ro-RO"/>
              </w:rPr>
              <w:t>)</w:t>
            </w:r>
          </w:p>
        </w:tc>
        <w:tc>
          <w:tcPr>
            <w:tcW w:w="0" w:type="auto"/>
            <w:tcBorders>
              <w:top w:val="outset" w:sz="6" w:space="0" w:color="auto"/>
              <w:left w:val="outset" w:sz="6" w:space="0" w:color="auto"/>
              <w:bottom w:val="outset" w:sz="6" w:space="0" w:color="auto"/>
              <w:right w:val="outset" w:sz="6" w:space="0" w:color="auto"/>
            </w:tcBorders>
            <w:hideMark/>
          </w:tcPr>
          <w:p w14:paraId="6000BFBB" w14:textId="77777777" w:rsidR="006F667E" w:rsidRPr="002D468A" w:rsidRDefault="006F667E" w:rsidP="008D25C5">
            <w:pPr>
              <w:pStyle w:val="tbl-norm"/>
              <w:spacing w:before="0" w:beforeAutospacing="0" w:after="0" w:afterAutospacing="0" w:line="312" w:lineRule="atLeast"/>
              <w:jc w:val="both"/>
              <w:rPr>
                <w:b/>
                <w:bCs/>
                <w:color w:val="000000" w:themeColor="text1"/>
                <w:lang w:val="ro-RO"/>
              </w:rPr>
            </w:pPr>
            <w:r w:rsidRPr="002D468A">
              <w:rPr>
                <w:b/>
                <w:bCs/>
                <w:color w:val="000000" w:themeColor="text1"/>
                <w:lang w:val="ro-RO"/>
              </w:rPr>
              <w:t>LGD</w:t>
            </w:r>
            <w:r w:rsidRPr="002D468A">
              <w:rPr>
                <w:rStyle w:val="subscript"/>
                <w:b/>
                <w:bCs/>
                <w:color w:val="000000" w:themeColor="text1"/>
                <w:vertAlign w:val="subscript"/>
                <w:lang w:val="ro-RO"/>
              </w:rPr>
              <w:t>S</w:t>
            </w:r>
          </w:p>
        </w:tc>
        <w:tc>
          <w:tcPr>
            <w:tcW w:w="0" w:type="auto"/>
            <w:tcBorders>
              <w:top w:val="outset" w:sz="6" w:space="0" w:color="auto"/>
              <w:left w:val="outset" w:sz="6" w:space="0" w:color="auto"/>
              <w:bottom w:val="outset" w:sz="6" w:space="0" w:color="auto"/>
              <w:right w:val="outset" w:sz="6" w:space="0" w:color="auto"/>
            </w:tcBorders>
            <w:hideMark/>
          </w:tcPr>
          <w:p w14:paraId="17C859C7" w14:textId="77777777" w:rsidR="006F667E" w:rsidRPr="002D468A" w:rsidRDefault="006F667E" w:rsidP="008D25C5">
            <w:pPr>
              <w:pStyle w:val="tbl-norm"/>
              <w:spacing w:before="0" w:beforeAutospacing="0" w:after="0" w:afterAutospacing="0" w:line="312" w:lineRule="atLeast"/>
              <w:jc w:val="both"/>
              <w:rPr>
                <w:b/>
                <w:bCs/>
                <w:color w:val="000000" w:themeColor="text1"/>
                <w:lang w:val="ro-RO"/>
              </w:rPr>
            </w:pPr>
            <w:r w:rsidRPr="002D468A">
              <w:rPr>
                <w:b/>
                <w:bCs/>
                <w:color w:val="000000" w:themeColor="text1"/>
                <w:lang w:val="ro-RO"/>
              </w:rPr>
              <w:t>Ajustarea de volatilitate (H</w:t>
            </w:r>
            <w:r w:rsidRPr="002D468A">
              <w:rPr>
                <w:rStyle w:val="subscript"/>
                <w:b/>
                <w:bCs/>
                <w:color w:val="000000" w:themeColor="text1"/>
                <w:vertAlign w:val="subscript"/>
                <w:lang w:val="ro-RO"/>
              </w:rPr>
              <w:t>c</w:t>
            </w:r>
            <w:r w:rsidRPr="002D468A">
              <w:rPr>
                <w:b/>
                <w:bCs/>
                <w:color w:val="000000" w:themeColor="text1"/>
                <w:lang w:val="ro-RO"/>
              </w:rPr>
              <w:t>)</w:t>
            </w:r>
          </w:p>
        </w:tc>
      </w:tr>
      <w:tr w:rsidR="000B2CBE" w:rsidRPr="002D468A" w14:paraId="6E016A96" w14:textId="77777777" w:rsidTr="008D25C5">
        <w:trPr>
          <w:jc w:val="center"/>
        </w:trPr>
        <w:tc>
          <w:tcPr>
            <w:tcW w:w="0" w:type="auto"/>
            <w:tcBorders>
              <w:top w:val="outset" w:sz="6" w:space="0" w:color="auto"/>
              <w:left w:val="outset" w:sz="6" w:space="0" w:color="auto"/>
              <w:bottom w:val="outset" w:sz="6" w:space="0" w:color="auto"/>
              <w:right w:val="outset" w:sz="6" w:space="0" w:color="auto"/>
            </w:tcBorders>
            <w:hideMark/>
          </w:tcPr>
          <w:p w14:paraId="498824C5" w14:textId="77777777" w:rsidR="006F667E" w:rsidRPr="002D468A" w:rsidRDefault="006F667E" w:rsidP="008D25C5">
            <w:pPr>
              <w:pStyle w:val="tbl-norm"/>
              <w:spacing w:before="0" w:beforeAutospacing="0" w:after="0" w:afterAutospacing="0" w:line="312" w:lineRule="atLeast"/>
              <w:jc w:val="both"/>
              <w:rPr>
                <w:color w:val="000000" w:themeColor="text1"/>
                <w:lang w:val="ro-RO"/>
              </w:rPr>
            </w:pPr>
            <w:r w:rsidRPr="002D468A">
              <w:rPr>
                <w:color w:val="000000" w:themeColor="text1"/>
                <w:lang w:val="ro-RO"/>
              </w:rPr>
              <w:lastRenderedPageBreak/>
              <w:t>Garanții financiare</w:t>
            </w:r>
          </w:p>
        </w:tc>
        <w:tc>
          <w:tcPr>
            <w:tcW w:w="0" w:type="auto"/>
            <w:tcBorders>
              <w:top w:val="outset" w:sz="6" w:space="0" w:color="auto"/>
              <w:left w:val="outset" w:sz="6" w:space="0" w:color="auto"/>
              <w:bottom w:val="outset" w:sz="6" w:space="0" w:color="auto"/>
              <w:right w:val="outset" w:sz="6" w:space="0" w:color="auto"/>
            </w:tcBorders>
            <w:hideMark/>
          </w:tcPr>
          <w:p w14:paraId="06F767B8" w14:textId="77777777" w:rsidR="006F667E" w:rsidRPr="002D468A" w:rsidRDefault="006F667E" w:rsidP="008D25C5">
            <w:pPr>
              <w:pStyle w:val="tbl-norm"/>
              <w:spacing w:before="0" w:beforeAutospacing="0" w:after="0" w:afterAutospacing="0" w:line="312" w:lineRule="atLeast"/>
              <w:jc w:val="both"/>
              <w:rPr>
                <w:color w:val="000000" w:themeColor="text1"/>
                <w:lang w:val="ro-RO"/>
              </w:rPr>
            </w:pPr>
            <w:r w:rsidRPr="002D468A">
              <w:rPr>
                <w:color w:val="000000" w:themeColor="text1"/>
                <w:lang w:val="ro-RO"/>
              </w:rPr>
              <w:t>0 %</w:t>
            </w:r>
          </w:p>
        </w:tc>
        <w:tc>
          <w:tcPr>
            <w:tcW w:w="0" w:type="auto"/>
            <w:tcBorders>
              <w:top w:val="outset" w:sz="6" w:space="0" w:color="auto"/>
              <w:left w:val="outset" w:sz="6" w:space="0" w:color="auto"/>
              <w:bottom w:val="outset" w:sz="6" w:space="0" w:color="auto"/>
              <w:right w:val="outset" w:sz="6" w:space="0" w:color="auto"/>
            </w:tcBorders>
            <w:hideMark/>
          </w:tcPr>
          <w:p w14:paraId="5C52C2A0" w14:textId="77777777" w:rsidR="006F667E" w:rsidRPr="002D468A" w:rsidRDefault="006F667E" w:rsidP="008D25C5">
            <w:pPr>
              <w:pStyle w:val="tbl-norm"/>
              <w:spacing w:before="0" w:beforeAutospacing="0" w:after="0" w:afterAutospacing="0" w:line="312" w:lineRule="atLeast"/>
              <w:jc w:val="both"/>
              <w:rPr>
                <w:color w:val="000000" w:themeColor="text1"/>
                <w:lang w:val="ro-RO"/>
              </w:rPr>
            </w:pPr>
            <w:r w:rsidRPr="002D468A">
              <w:rPr>
                <w:color w:val="000000" w:themeColor="text1"/>
                <w:lang w:val="ro-RO"/>
              </w:rPr>
              <w:t>Ajustarea de volatilitate H</w:t>
            </w:r>
            <w:r w:rsidRPr="002D468A">
              <w:rPr>
                <w:rStyle w:val="subscript"/>
                <w:color w:val="000000" w:themeColor="text1"/>
                <w:vertAlign w:val="subscript"/>
                <w:lang w:val="ro-RO"/>
              </w:rPr>
              <w:t>c</w:t>
            </w:r>
            <w:r w:rsidRPr="002D468A">
              <w:rPr>
                <w:color w:val="000000" w:themeColor="text1"/>
                <w:lang w:val="ro-RO"/>
              </w:rPr>
              <w:t> stabilită la</w:t>
            </w:r>
            <w:r w:rsidRPr="002D468A">
              <w:rPr>
                <w:rFonts w:eastAsia="Arial Unicode MS"/>
                <w:color w:val="000000" w:themeColor="text1"/>
                <w:lang w:val="ro-RO"/>
              </w:rPr>
              <w:t xml:space="preserve"> punctele 95-105</w:t>
            </w:r>
          </w:p>
        </w:tc>
      </w:tr>
      <w:tr w:rsidR="000B2CBE" w:rsidRPr="002D468A" w14:paraId="3C24B54F" w14:textId="77777777" w:rsidTr="008D25C5">
        <w:trPr>
          <w:jc w:val="center"/>
        </w:trPr>
        <w:tc>
          <w:tcPr>
            <w:tcW w:w="0" w:type="auto"/>
            <w:tcBorders>
              <w:top w:val="outset" w:sz="6" w:space="0" w:color="auto"/>
              <w:left w:val="outset" w:sz="6" w:space="0" w:color="auto"/>
              <w:bottom w:val="outset" w:sz="6" w:space="0" w:color="auto"/>
              <w:right w:val="outset" w:sz="6" w:space="0" w:color="auto"/>
            </w:tcBorders>
            <w:hideMark/>
          </w:tcPr>
          <w:p w14:paraId="4762DD00" w14:textId="77777777" w:rsidR="006F667E" w:rsidRPr="002D468A" w:rsidRDefault="006F667E" w:rsidP="008D25C5">
            <w:pPr>
              <w:pStyle w:val="tbl-norm"/>
              <w:spacing w:before="0" w:beforeAutospacing="0" w:after="0" w:afterAutospacing="0" w:line="312" w:lineRule="atLeast"/>
              <w:jc w:val="both"/>
              <w:rPr>
                <w:color w:val="000000" w:themeColor="text1"/>
                <w:lang w:val="ro-RO"/>
              </w:rPr>
            </w:pPr>
            <w:r w:rsidRPr="002D468A">
              <w:rPr>
                <w:color w:val="000000" w:themeColor="text1"/>
                <w:lang w:val="ro-RO"/>
              </w:rPr>
              <w:t>Creanțe</w:t>
            </w:r>
          </w:p>
        </w:tc>
        <w:tc>
          <w:tcPr>
            <w:tcW w:w="0" w:type="auto"/>
            <w:tcBorders>
              <w:top w:val="outset" w:sz="6" w:space="0" w:color="auto"/>
              <w:left w:val="outset" w:sz="6" w:space="0" w:color="auto"/>
              <w:bottom w:val="outset" w:sz="6" w:space="0" w:color="auto"/>
              <w:right w:val="outset" w:sz="6" w:space="0" w:color="auto"/>
            </w:tcBorders>
            <w:hideMark/>
          </w:tcPr>
          <w:p w14:paraId="36C5210B" w14:textId="77777777" w:rsidR="006F667E" w:rsidRPr="002D468A" w:rsidRDefault="006F667E" w:rsidP="008D25C5">
            <w:pPr>
              <w:pStyle w:val="tbl-norm"/>
              <w:spacing w:before="0" w:beforeAutospacing="0" w:after="0" w:afterAutospacing="0" w:line="312" w:lineRule="atLeast"/>
              <w:jc w:val="both"/>
              <w:rPr>
                <w:color w:val="000000" w:themeColor="text1"/>
                <w:lang w:val="ro-RO"/>
              </w:rPr>
            </w:pPr>
            <w:r w:rsidRPr="002D468A">
              <w:rPr>
                <w:color w:val="000000" w:themeColor="text1"/>
                <w:lang w:val="ro-RO"/>
              </w:rPr>
              <w:t>20 %</w:t>
            </w:r>
          </w:p>
        </w:tc>
        <w:tc>
          <w:tcPr>
            <w:tcW w:w="0" w:type="auto"/>
            <w:tcBorders>
              <w:top w:val="outset" w:sz="6" w:space="0" w:color="auto"/>
              <w:left w:val="outset" w:sz="6" w:space="0" w:color="auto"/>
              <w:bottom w:val="outset" w:sz="6" w:space="0" w:color="auto"/>
              <w:right w:val="outset" w:sz="6" w:space="0" w:color="auto"/>
            </w:tcBorders>
            <w:hideMark/>
          </w:tcPr>
          <w:p w14:paraId="439166E2" w14:textId="77777777" w:rsidR="006F667E" w:rsidRPr="002D468A" w:rsidRDefault="006F667E" w:rsidP="008D25C5">
            <w:pPr>
              <w:pStyle w:val="tbl-norm"/>
              <w:spacing w:before="0" w:beforeAutospacing="0" w:after="0" w:afterAutospacing="0" w:line="312" w:lineRule="atLeast"/>
              <w:jc w:val="both"/>
              <w:rPr>
                <w:color w:val="000000" w:themeColor="text1"/>
                <w:lang w:val="ro-RO"/>
              </w:rPr>
            </w:pPr>
            <w:r w:rsidRPr="002D468A">
              <w:rPr>
                <w:color w:val="000000" w:themeColor="text1"/>
                <w:lang w:val="ro-RO"/>
              </w:rPr>
              <w:t>40 %</w:t>
            </w:r>
          </w:p>
        </w:tc>
      </w:tr>
      <w:tr w:rsidR="000B2CBE" w:rsidRPr="002D468A" w14:paraId="15231BB0" w14:textId="77777777" w:rsidTr="008D25C5">
        <w:trPr>
          <w:jc w:val="center"/>
        </w:trPr>
        <w:tc>
          <w:tcPr>
            <w:tcW w:w="0" w:type="auto"/>
            <w:tcBorders>
              <w:top w:val="outset" w:sz="6" w:space="0" w:color="auto"/>
              <w:left w:val="outset" w:sz="6" w:space="0" w:color="auto"/>
              <w:bottom w:val="outset" w:sz="6" w:space="0" w:color="auto"/>
              <w:right w:val="outset" w:sz="6" w:space="0" w:color="auto"/>
            </w:tcBorders>
            <w:hideMark/>
          </w:tcPr>
          <w:p w14:paraId="674C5CEE" w14:textId="77777777" w:rsidR="006F667E" w:rsidRPr="002D468A" w:rsidRDefault="006F667E" w:rsidP="008D25C5">
            <w:pPr>
              <w:pStyle w:val="tbl-norm"/>
              <w:spacing w:before="0" w:beforeAutospacing="0" w:after="0" w:afterAutospacing="0" w:line="312" w:lineRule="atLeast"/>
              <w:jc w:val="both"/>
              <w:rPr>
                <w:color w:val="000000" w:themeColor="text1"/>
                <w:lang w:val="ro-RO"/>
              </w:rPr>
            </w:pPr>
            <w:r w:rsidRPr="002D468A">
              <w:rPr>
                <w:color w:val="000000" w:themeColor="text1"/>
                <w:lang w:val="ro-RO"/>
              </w:rPr>
              <w:t>Bunuri imobile locative și comerciale</w:t>
            </w:r>
          </w:p>
        </w:tc>
        <w:tc>
          <w:tcPr>
            <w:tcW w:w="0" w:type="auto"/>
            <w:tcBorders>
              <w:top w:val="outset" w:sz="6" w:space="0" w:color="auto"/>
              <w:left w:val="outset" w:sz="6" w:space="0" w:color="auto"/>
              <w:bottom w:val="outset" w:sz="6" w:space="0" w:color="auto"/>
              <w:right w:val="outset" w:sz="6" w:space="0" w:color="auto"/>
            </w:tcBorders>
            <w:hideMark/>
          </w:tcPr>
          <w:p w14:paraId="7796105E" w14:textId="77777777" w:rsidR="006F667E" w:rsidRPr="002D468A" w:rsidRDefault="006F667E" w:rsidP="008D25C5">
            <w:pPr>
              <w:pStyle w:val="tbl-norm"/>
              <w:spacing w:before="0" w:beforeAutospacing="0" w:after="0" w:afterAutospacing="0" w:line="312" w:lineRule="atLeast"/>
              <w:jc w:val="both"/>
              <w:rPr>
                <w:color w:val="000000" w:themeColor="text1"/>
                <w:lang w:val="ro-RO"/>
              </w:rPr>
            </w:pPr>
            <w:r w:rsidRPr="002D468A">
              <w:rPr>
                <w:color w:val="000000" w:themeColor="text1"/>
                <w:lang w:val="ro-RO"/>
              </w:rPr>
              <w:t>20 %</w:t>
            </w:r>
          </w:p>
        </w:tc>
        <w:tc>
          <w:tcPr>
            <w:tcW w:w="0" w:type="auto"/>
            <w:tcBorders>
              <w:top w:val="outset" w:sz="6" w:space="0" w:color="auto"/>
              <w:left w:val="outset" w:sz="6" w:space="0" w:color="auto"/>
              <w:bottom w:val="outset" w:sz="6" w:space="0" w:color="auto"/>
              <w:right w:val="outset" w:sz="6" w:space="0" w:color="auto"/>
            </w:tcBorders>
            <w:hideMark/>
          </w:tcPr>
          <w:p w14:paraId="52FED44B" w14:textId="77777777" w:rsidR="006F667E" w:rsidRPr="002D468A" w:rsidRDefault="006F667E" w:rsidP="008D25C5">
            <w:pPr>
              <w:pStyle w:val="tbl-norm"/>
              <w:spacing w:before="0" w:beforeAutospacing="0" w:after="0" w:afterAutospacing="0" w:line="312" w:lineRule="atLeast"/>
              <w:jc w:val="both"/>
              <w:rPr>
                <w:color w:val="000000" w:themeColor="text1"/>
                <w:lang w:val="ro-RO"/>
              </w:rPr>
            </w:pPr>
            <w:r w:rsidRPr="002D468A">
              <w:rPr>
                <w:color w:val="000000" w:themeColor="text1"/>
                <w:lang w:val="ro-RO"/>
              </w:rPr>
              <w:t>40 %</w:t>
            </w:r>
          </w:p>
        </w:tc>
      </w:tr>
      <w:tr w:rsidR="000B2CBE" w:rsidRPr="002D468A" w14:paraId="34ACE08F" w14:textId="77777777" w:rsidTr="008D25C5">
        <w:trPr>
          <w:jc w:val="center"/>
        </w:trPr>
        <w:tc>
          <w:tcPr>
            <w:tcW w:w="0" w:type="auto"/>
            <w:tcBorders>
              <w:top w:val="outset" w:sz="6" w:space="0" w:color="auto"/>
              <w:left w:val="outset" w:sz="6" w:space="0" w:color="auto"/>
              <w:bottom w:val="outset" w:sz="6" w:space="0" w:color="auto"/>
              <w:right w:val="outset" w:sz="6" w:space="0" w:color="auto"/>
            </w:tcBorders>
            <w:hideMark/>
          </w:tcPr>
          <w:p w14:paraId="7EE9EBA0" w14:textId="77777777" w:rsidR="006F667E" w:rsidRPr="002D468A" w:rsidRDefault="006F667E" w:rsidP="008D25C5">
            <w:pPr>
              <w:pStyle w:val="tbl-norm"/>
              <w:spacing w:before="0" w:beforeAutospacing="0" w:after="0" w:afterAutospacing="0" w:line="312" w:lineRule="atLeast"/>
              <w:jc w:val="both"/>
              <w:rPr>
                <w:color w:val="000000" w:themeColor="text1"/>
                <w:lang w:val="ro-RO"/>
              </w:rPr>
            </w:pPr>
            <w:r w:rsidRPr="002D468A">
              <w:rPr>
                <w:color w:val="000000" w:themeColor="text1"/>
                <w:lang w:val="ro-RO"/>
              </w:rPr>
              <w:t>Alte garanții reale corporale</w:t>
            </w:r>
          </w:p>
        </w:tc>
        <w:tc>
          <w:tcPr>
            <w:tcW w:w="0" w:type="auto"/>
            <w:tcBorders>
              <w:top w:val="outset" w:sz="6" w:space="0" w:color="auto"/>
              <w:left w:val="outset" w:sz="6" w:space="0" w:color="auto"/>
              <w:bottom w:val="outset" w:sz="6" w:space="0" w:color="auto"/>
              <w:right w:val="outset" w:sz="6" w:space="0" w:color="auto"/>
            </w:tcBorders>
            <w:hideMark/>
          </w:tcPr>
          <w:p w14:paraId="6F015E45" w14:textId="77777777" w:rsidR="006F667E" w:rsidRPr="002D468A" w:rsidRDefault="006F667E" w:rsidP="008D25C5">
            <w:pPr>
              <w:pStyle w:val="tbl-norm"/>
              <w:spacing w:before="0" w:beforeAutospacing="0" w:after="0" w:afterAutospacing="0" w:line="312" w:lineRule="atLeast"/>
              <w:jc w:val="both"/>
              <w:rPr>
                <w:color w:val="000000" w:themeColor="text1"/>
                <w:lang w:val="ro-RO"/>
              </w:rPr>
            </w:pPr>
            <w:r w:rsidRPr="002D468A">
              <w:rPr>
                <w:color w:val="000000" w:themeColor="text1"/>
                <w:lang w:val="ro-RO"/>
              </w:rPr>
              <w:t>25 %</w:t>
            </w:r>
          </w:p>
        </w:tc>
        <w:tc>
          <w:tcPr>
            <w:tcW w:w="0" w:type="auto"/>
            <w:tcBorders>
              <w:top w:val="outset" w:sz="6" w:space="0" w:color="auto"/>
              <w:left w:val="outset" w:sz="6" w:space="0" w:color="auto"/>
              <w:bottom w:val="outset" w:sz="6" w:space="0" w:color="auto"/>
              <w:right w:val="outset" w:sz="6" w:space="0" w:color="auto"/>
            </w:tcBorders>
            <w:hideMark/>
          </w:tcPr>
          <w:p w14:paraId="228A74BB" w14:textId="77777777" w:rsidR="006F667E" w:rsidRPr="002D468A" w:rsidRDefault="006F667E" w:rsidP="008D25C5">
            <w:pPr>
              <w:pStyle w:val="tbl-norm"/>
              <w:spacing w:before="0" w:beforeAutospacing="0" w:after="0" w:afterAutospacing="0" w:line="312" w:lineRule="atLeast"/>
              <w:jc w:val="both"/>
              <w:rPr>
                <w:color w:val="000000" w:themeColor="text1"/>
                <w:lang w:val="ro-RO"/>
              </w:rPr>
            </w:pPr>
            <w:r w:rsidRPr="002D468A">
              <w:rPr>
                <w:color w:val="000000" w:themeColor="text1"/>
                <w:lang w:val="ro-RO"/>
              </w:rPr>
              <w:t>40 %</w:t>
            </w:r>
          </w:p>
        </w:tc>
      </w:tr>
      <w:tr w:rsidR="000B2CBE" w:rsidRPr="002D468A" w14:paraId="7E8DA5EA" w14:textId="77777777" w:rsidTr="008D25C5">
        <w:trPr>
          <w:jc w:val="center"/>
        </w:trPr>
        <w:tc>
          <w:tcPr>
            <w:tcW w:w="0" w:type="auto"/>
            <w:tcBorders>
              <w:top w:val="outset" w:sz="6" w:space="0" w:color="auto"/>
              <w:left w:val="outset" w:sz="6" w:space="0" w:color="auto"/>
              <w:bottom w:val="outset" w:sz="6" w:space="0" w:color="auto"/>
              <w:right w:val="outset" w:sz="6" w:space="0" w:color="auto"/>
            </w:tcBorders>
            <w:hideMark/>
          </w:tcPr>
          <w:p w14:paraId="672F9162" w14:textId="77777777" w:rsidR="006F667E" w:rsidRPr="002D468A" w:rsidRDefault="006F667E" w:rsidP="008D25C5">
            <w:pPr>
              <w:pStyle w:val="tbl-norm"/>
              <w:spacing w:before="0" w:beforeAutospacing="0" w:after="0" w:afterAutospacing="0" w:line="312" w:lineRule="atLeast"/>
              <w:jc w:val="both"/>
              <w:rPr>
                <w:color w:val="000000" w:themeColor="text1"/>
                <w:lang w:val="ro-RO"/>
              </w:rPr>
            </w:pPr>
            <w:r w:rsidRPr="002D468A">
              <w:rPr>
                <w:color w:val="000000" w:themeColor="text1"/>
                <w:lang w:val="ro-RO"/>
              </w:rPr>
              <w:t>Protecție finanțată a creditului neeligibilă</w:t>
            </w:r>
          </w:p>
        </w:tc>
        <w:tc>
          <w:tcPr>
            <w:tcW w:w="0" w:type="auto"/>
            <w:tcBorders>
              <w:top w:val="outset" w:sz="6" w:space="0" w:color="auto"/>
              <w:left w:val="outset" w:sz="6" w:space="0" w:color="auto"/>
              <w:bottom w:val="outset" w:sz="6" w:space="0" w:color="auto"/>
              <w:right w:val="outset" w:sz="6" w:space="0" w:color="auto"/>
            </w:tcBorders>
            <w:hideMark/>
          </w:tcPr>
          <w:p w14:paraId="26E948BA" w14:textId="77777777" w:rsidR="006F667E" w:rsidRPr="002D468A" w:rsidRDefault="006F667E" w:rsidP="008D25C5">
            <w:pPr>
              <w:pStyle w:val="tbl-norm"/>
              <w:spacing w:before="0" w:beforeAutospacing="0" w:after="0" w:afterAutospacing="0" w:line="312" w:lineRule="atLeast"/>
              <w:jc w:val="both"/>
              <w:rPr>
                <w:color w:val="000000" w:themeColor="text1"/>
                <w:lang w:val="ro-RO"/>
              </w:rPr>
            </w:pPr>
            <w:r w:rsidRPr="002D468A">
              <w:rPr>
                <w:color w:val="000000" w:themeColor="text1"/>
                <w:lang w:val="ro-RO"/>
              </w:rPr>
              <w:t>N/A</w:t>
            </w:r>
          </w:p>
        </w:tc>
        <w:tc>
          <w:tcPr>
            <w:tcW w:w="0" w:type="auto"/>
            <w:tcBorders>
              <w:top w:val="outset" w:sz="6" w:space="0" w:color="auto"/>
              <w:left w:val="outset" w:sz="6" w:space="0" w:color="auto"/>
              <w:bottom w:val="outset" w:sz="6" w:space="0" w:color="auto"/>
              <w:right w:val="outset" w:sz="6" w:space="0" w:color="auto"/>
            </w:tcBorders>
            <w:hideMark/>
          </w:tcPr>
          <w:p w14:paraId="5E97BF2A" w14:textId="77777777" w:rsidR="006F667E" w:rsidRPr="002D468A" w:rsidRDefault="006F667E" w:rsidP="008D25C5">
            <w:pPr>
              <w:pStyle w:val="tbl-norm"/>
              <w:spacing w:before="0" w:beforeAutospacing="0" w:after="0" w:afterAutospacing="0" w:line="312" w:lineRule="atLeast"/>
              <w:jc w:val="both"/>
              <w:rPr>
                <w:color w:val="000000" w:themeColor="text1"/>
                <w:lang w:val="ro-RO"/>
              </w:rPr>
            </w:pPr>
            <w:r w:rsidRPr="002D468A">
              <w:rPr>
                <w:color w:val="000000" w:themeColor="text1"/>
                <w:lang w:val="ro-RO"/>
              </w:rPr>
              <w:t>100 %</w:t>
            </w:r>
          </w:p>
        </w:tc>
      </w:tr>
    </w:tbl>
    <w:p w14:paraId="1B230549" w14:textId="6380995A" w:rsidR="006F667E" w:rsidRPr="002D468A" w:rsidRDefault="006F667E" w:rsidP="006F667E">
      <w:pPr>
        <w:shd w:val="clear" w:color="auto" w:fill="FFFFFF"/>
        <w:spacing w:before="120"/>
        <w:jc w:val="both"/>
        <w:rPr>
          <w:rFonts w:eastAsia="Arial Unicode MS"/>
          <w:color w:val="000000" w:themeColor="text1"/>
          <w:lang w:val="ro-RO"/>
        </w:rPr>
      </w:pPr>
      <w:r w:rsidRPr="002D468A">
        <w:rPr>
          <w:b/>
          <w:bCs/>
          <w:color w:val="000000" w:themeColor="text1"/>
          <w:lang w:val="ro-RO"/>
        </w:rPr>
        <w:t>107</w:t>
      </w:r>
      <w:r w:rsidRPr="002D468A">
        <w:rPr>
          <w:b/>
          <w:bCs/>
          <w:color w:val="000000" w:themeColor="text1"/>
          <w:vertAlign w:val="superscript"/>
          <w:lang w:val="ro-RO"/>
        </w:rPr>
        <w:t>8</w:t>
      </w:r>
      <w:r w:rsidRPr="002D468A">
        <w:rPr>
          <w:b/>
          <w:bCs/>
          <w:color w:val="000000" w:themeColor="text1"/>
          <w:lang w:val="ro-RO"/>
        </w:rPr>
        <w:t xml:space="preserve">. </w:t>
      </w:r>
      <w:r w:rsidRPr="002D468A">
        <w:rPr>
          <w:rFonts w:eastAsia="Arial Unicode MS"/>
          <w:color w:val="000000" w:themeColor="text1"/>
          <w:lang w:val="ro-RO"/>
        </w:rPr>
        <w:t>În cazul în care o protecție finanțată a creditului eligibilă este exprimată într-o monedă diferită de cea a expunerii, ajustarea de volatilitate pentru neconcordanța de monede (</w:t>
      </w:r>
      <w:proofErr w:type="spellStart"/>
      <w:r w:rsidRPr="002D468A">
        <w:rPr>
          <w:rFonts w:eastAsia="Arial Unicode MS"/>
          <w:color w:val="000000" w:themeColor="text1"/>
          <w:lang w:val="ro-RO"/>
        </w:rPr>
        <w:t>H</w:t>
      </w:r>
      <w:r w:rsidRPr="002D468A">
        <w:rPr>
          <w:rStyle w:val="subscript"/>
          <w:rFonts w:eastAsia="Arial Unicode MS"/>
          <w:color w:val="000000" w:themeColor="text1"/>
          <w:vertAlign w:val="subscript"/>
          <w:lang w:val="ro-RO"/>
        </w:rPr>
        <w:t>fx</w:t>
      </w:r>
      <w:proofErr w:type="spellEnd"/>
      <w:r w:rsidRPr="002D468A">
        <w:rPr>
          <w:rFonts w:eastAsia="Arial Unicode MS"/>
          <w:color w:val="000000" w:themeColor="text1"/>
          <w:lang w:val="ro-RO"/>
        </w:rPr>
        <w:t>) este aceeași cu cea care se aplică în temeiul punctelor 95-105</w:t>
      </w:r>
      <w:r w:rsidRPr="002D468A">
        <w:rPr>
          <w:color w:val="000000" w:themeColor="text1"/>
          <w:lang w:val="ro-RO" w:eastAsia="ro-MD"/>
        </w:rPr>
        <w:t>.</w:t>
      </w:r>
    </w:p>
    <w:p w14:paraId="298E7DFD" w14:textId="2AC055F7" w:rsidR="006F667E" w:rsidRPr="002D468A" w:rsidRDefault="006F667E" w:rsidP="006F667E">
      <w:pPr>
        <w:shd w:val="clear" w:color="auto" w:fill="FFFFFF"/>
        <w:jc w:val="both"/>
        <w:rPr>
          <w:rFonts w:eastAsia="Arial Unicode MS"/>
          <w:color w:val="000000" w:themeColor="text1"/>
          <w:lang w:val="ro-RO"/>
        </w:rPr>
      </w:pPr>
      <w:r w:rsidRPr="002D468A">
        <w:rPr>
          <w:b/>
          <w:bCs/>
          <w:color w:val="000000" w:themeColor="text1"/>
          <w:lang w:val="ro-RO"/>
        </w:rPr>
        <w:t>107</w:t>
      </w:r>
      <w:r w:rsidRPr="002D468A">
        <w:rPr>
          <w:b/>
          <w:bCs/>
          <w:color w:val="000000" w:themeColor="text1"/>
          <w:vertAlign w:val="superscript"/>
          <w:lang w:val="ro-RO"/>
        </w:rPr>
        <w:t>9</w:t>
      </w:r>
      <w:r w:rsidRPr="002D468A">
        <w:rPr>
          <w:b/>
          <w:bCs/>
          <w:color w:val="000000" w:themeColor="text1"/>
          <w:lang w:val="ro-RO"/>
        </w:rPr>
        <w:t xml:space="preserve">. </w:t>
      </w:r>
      <w:r w:rsidRPr="002D468A">
        <w:rPr>
          <w:rFonts w:eastAsia="Arial Unicode MS"/>
          <w:color w:val="000000" w:themeColor="text1"/>
          <w:lang w:val="ro-RO"/>
        </w:rPr>
        <w:t>Ca alternativă la tratamentul prevăzut la punctele 107</w:t>
      </w:r>
      <w:r w:rsidRPr="002D468A">
        <w:rPr>
          <w:rFonts w:eastAsia="Arial Unicode MS"/>
          <w:color w:val="000000" w:themeColor="text1"/>
          <w:vertAlign w:val="superscript"/>
          <w:lang w:val="ro-RO"/>
        </w:rPr>
        <w:t>6</w:t>
      </w:r>
      <w:r w:rsidRPr="002D468A">
        <w:rPr>
          <w:rFonts w:eastAsia="Arial Unicode MS"/>
          <w:color w:val="000000" w:themeColor="text1"/>
          <w:lang w:val="ro-RO"/>
        </w:rPr>
        <w:t>-107</w:t>
      </w:r>
      <w:r w:rsidRPr="002D468A">
        <w:rPr>
          <w:rFonts w:eastAsia="Arial Unicode MS"/>
          <w:color w:val="000000" w:themeColor="text1"/>
          <w:vertAlign w:val="superscript"/>
          <w:lang w:val="ro-RO"/>
        </w:rPr>
        <w:t>7</w:t>
      </w:r>
      <w:r w:rsidRPr="002D468A">
        <w:rPr>
          <w:rFonts w:eastAsia="Arial Unicode MS"/>
          <w:color w:val="000000" w:themeColor="text1"/>
          <w:lang w:val="ro-RO"/>
        </w:rPr>
        <w:t xml:space="preserve"> și sub rezerva punctelor 68</w:t>
      </w:r>
      <w:r w:rsidRPr="002D468A">
        <w:rPr>
          <w:rFonts w:eastAsia="Arial Unicode MS"/>
          <w:color w:val="000000" w:themeColor="text1"/>
          <w:vertAlign w:val="superscript"/>
          <w:lang w:val="ro-RO"/>
        </w:rPr>
        <w:t>3</w:t>
      </w:r>
      <w:r w:rsidRPr="002D468A">
        <w:rPr>
          <w:rFonts w:eastAsia="Arial Unicode MS"/>
          <w:color w:val="000000" w:themeColor="text1"/>
          <w:lang w:val="ro-RO"/>
        </w:rPr>
        <w:t>-68</w:t>
      </w:r>
      <w:r w:rsidRPr="002D468A">
        <w:rPr>
          <w:rFonts w:eastAsia="Arial Unicode MS"/>
          <w:color w:val="000000" w:themeColor="text1"/>
          <w:vertAlign w:val="superscript"/>
          <w:lang w:val="ro-RO"/>
        </w:rPr>
        <w:t>6</w:t>
      </w:r>
      <w:r w:rsidRPr="002D468A">
        <w:rPr>
          <w:rFonts w:eastAsia="Arial Unicode MS"/>
          <w:color w:val="000000" w:themeColor="text1"/>
          <w:lang w:val="ro-RO"/>
        </w:rPr>
        <w:t xml:space="preserve"> din </w:t>
      </w:r>
      <w:r w:rsidR="00535048" w:rsidRPr="002D468A">
        <w:rPr>
          <w:rFonts w:eastAsia="Arial Unicode MS"/>
          <w:color w:val="000000" w:themeColor="text1"/>
          <w:lang w:val="ro-RO"/>
        </w:rPr>
        <w:t xml:space="preserve">Regulamentul </w:t>
      </w:r>
      <w:r w:rsidRPr="002D468A">
        <w:rPr>
          <w:rFonts w:eastAsia="Arial Unicode MS"/>
          <w:color w:val="000000" w:themeColor="text1"/>
          <w:lang w:val="ro-RO"/>
        </w:rPr>
        <w:t>nr.111/2018, băncile pot atribui o pondere de risc de 50% pentru partea din expunere care este, în limitele stabilite la punctele 69 și, respectiv, 71 din Regulamentul nr.111/2018, garantată integral cu bunuri imobile locative sau comerciale, dacă sunt îndeplinite toate condițiile prevăzute la punctele 34</w:t>
      </w:r>
      <w:r w:rsidRPr="002D468A">
        <w:rPr>
          <w:rFonts w:eastAsia="Arial Unicode MS"/>
          <w:color w:val="000000" w:themeColor="text1"/>
          <w:vertAlign w:val="superscript"/>
          <w:lang w:val="ro-RO"/>
        </w:rPr>
        <w:t>4</w:t>
      </w:r>
      <w:r w:rsidRPr="002D468A">
        <w:rPr>
          <w:rFonts w:eastAsia="Arial Unicode MS"/>
          <w:color w:val="000000" w:themeColor="text1"/>
          <w:lang w:val="ro-RO"/>
        </w:rPr>
        <w:t>-34</w:t>
      </w:r>
      <w:r w:rsidRPr="002D468A">
        <w:rPr>
          <w:rFonts w:eastAsia="Arial Unicode MS"/>
          <w:color w:val="000000" w:themeColor="text1"/>
          <w:vertAlign w:val="superscript"/>
          <w:lang w:val="ro-RO"/>
        </w:rPr>
        <w:t>5</w:t>
      </w:r>
      <w:r w:rsidRPr="002D468A">
        <w:rPr>
          <w:rFonts w:eastAsia="Arial Unicode MS"/>
          <w:color w:val="000000" w:themeColor="text1"/>
          <w:lang w:val="ro-RO"/>
        </w:rPr>
        <w:t xml:space="preserve"> sau 34</w:t>
      </w:r>
      <w:r w:rsidRPr="002D468A">
        <w:rPr>
          <w:rFonts w:eastAsia="Arial Unicode MS"/>
          <w:color w:val="000000" w:themeColor="text1"/>
          <w:vertAlign w:val="superscript"/>
          <w:lang w:val="ro-RO"/>
        </w:rPr>
        <w:t>6</w:t>
      </w:r>
      <w:r w:rsidRPr="002D468A">
        <w:rPr>
          <w:rFonts w:eastAsia="Arial Unicode MS"/>
          <w:color w:val="000000" w:themeColor="text1"/>
          <w:lang w:val="ro-RO"/>
        </w:rPr>
        <w:t>-34</w:t>
      </w:r>
      <w:r w:rsidRPr="002D468A">
        <w:rPr>
          <w:rFonts w:eastAsia="Arial Unicode MS"/>
          <w:color w:val="000000" w:themeColor="text1"/>
          <w:vertAlign w:val="superscript"/>
          <w:lang w:val="ro-RO"/>
        </w:rPr>
        <w:t xml:space="preserve">7 </w:t>
      </w:r>
      <w:r w:rsidRPr="002D468A">
        <w:rPr>
          <w:rFonts w:eastAsia="Arial Unicode MS"/>
          <w:color w:val="000000" w:themeColor="text1"/>
          <w:lang w:val="ro-RO"/>
        </w:rPr>
        <w:t>din prezentul regulament.</w:t>
      </w:r>
    </w:p>
    <w:p w14:paraId="5A841CCA" w14:textId="646B40C9" w:rsidR="006F667E" w:rsidRPr="002D468A" w:rsidRDefault="006F667E" w:rsidP="006F667E">
      <w:pPr>
        <w:shd w:val="clear" w:color="auto" w:fill="FFFFFF"/>
        <w:jc w:val="both"/>
        <w:rPr>
          <w:rFonts w:eastAsia="Arial Unicode MS"/>
          <w:color w:val="000000" w:themeColor="text1"/>
          <w:lang w:val="ro-RO"/>
        </w:rPr>
      </w:pPr>
      <w:r w:rsidRPr="002D468A">
        <w:rPr>
          <w:b/>
          <w:bCs/>
          <w:color w:val="000000" w:themeColor="text1"/>
          <w:lang w:val="ro-RO"/>
        </w:rPr>
        <w:t>107</w:t>
      </w:r>
      <w:r w:rsidRPr="002D468A">
        <w:rPr>
          <w:b/>
          <w:bCs/>
          <w:color w:val="000000" w:themeColor="text1"/>
          <w:vertAlign w:val="superscript"/>
          <w:lang w:val="ro-RO"/>
        </w:rPr>
        <w:t>10</w:t>
      </w:r>
      <w:r w:rsidRPr="002D468A">
        <w:rPr>
          <w:b/>
          <w:bCs/>
          <w:color w:val="000000" w:themeColor="text1"/>
          <w:lang w:val="ro-RO"/>
        </w:rPr>
        <w:t xml:space="preserve">. </w:t>
      </w:r>
      <w:r w:rsidRPr="002D468A">
        <w:rPr>
          <w:rFonts w:eastAsia="Arial Unicode MS"/>
          <w:color w:val="000000" w:themeColor="text1"/>
          <w:lang w:val="ro-RO"/>
        </w:rPr>
        <w:t>Pentru a calcula valorile ponderate la risc ale expunerilor și cuantumurile pierderilor așteptate pentru expunerile IRB care intră sub incidența punctelor 68-70, băncile utilizează E* în conformitate cu punctul 71 și LGD pentru expunerile negarantate, astfel cum se prevede în actul normativ al Băncii Naționale a Moldovei aferent tratamentului riscului de credit potrivit abordării bazate pe modele interne de rating.</w:t>
      </w:r>
    </w:p>
    <w:p w14:paraId="19514EF9" w14:textId="77777777" w:rsidR="006F667E" w:rsidRPr="002D468A" w:rsidRDefault="006F667E" w:rsidP="006F667E">
      <w:pPr>
        <w:jc w:val="center"/>
        <w:rPr>
          <w:color w:val="000000" w:themeColor="text1"/>
          <w:lang w:val="ro-RO" w:eastAsia="ro-MD"/>
        </w:rPr>
      </w:pPr>
      <w:r w:rsidRPr="002D468A">
        <w:rPr>
          <w:color w:val="000000" w:themeColor="text1"/>
          <w:lang w:val="ro-RO" w:eastAsia="ro-MD"/>
        </w:rPr>
        <w:t> </w:t>
      </w:r>
      <w:r w:rsidRPr="002D468A">
        <w:rPr>
          <w:b/>
          <w:bCs/>
          <w:i/>
          <w:iCs/>
          <w:color w:val="000000" w:themeColor="text1"/>
          <w:lang w:val="ro-RO" w:eastAsia="ro-MD"/>
        </w:rPr>
        <w:t>Secțiunea a 9</w:t>
      </w:r>
      <w:r w:rsidRPr="002D468A">
        <w:rPr>
          <w:b/>
          <w:bCs/>
          <w:i/>
          <w:iCs/>
          <w:color w:val="000000" w:themeColor="text1"/>
          <w:vertAlign w:val="superscript"/>
          <w:lang w:val="ro-RO" w:eastAsia="ro-MD"/>
        </w:rPr>
        <w:t>3</w:t>
      </w:r>
      <w:r w:rsidRPr="002D468A">
        <w:rPr>
          <w:b/>
          <w:bCs/>
          <w:i/>
          <w:iCs/>
          <w:color w:val="000000" w:themeColor="text1"/>
          <w:lang w:val="ro-RO" w:eastAsia="ro-MD"/>
        </w:rPr>
        <w:t>-a</w:t>
      </w:r>
    </w:p>
    <w:p w14:paraId="5F4F54E9" w14:textId="77777777" w:rsidR="006F667E" w:rsidRPr="002D468A" w:rsidRDefault="006F667E" w:rsidP="006F667E">
      <w:pPr>
        <w:pStyle w:val="title-article-norm"/>
        <w:shd w:val="clear" w:color="auto" w:fill="FFFFFF"/>
        <w:spacing w:before="0" w:beforeAutospacing="0" w:after="0" w:afterAutospacing="0" w:line="312" w:lineRule="atLeast"/>
        <w:jc w:val="center"/>
        <w:rPr>
          <w:rFonts w:eastAsia="Arial Unicode MS"/>
          <w:b/>
          <w:bCs/>
          <w:color w:val="000000" w:themeColor="text1"/>
          <w:lang w:val="ro-RO"/>
        </w:rPr>
      </w:pPr>
      <w:r w:rsidRPr="002D468A">
        <w:rPr>
          <w:rFonts w:eastAsia="Arial Unicode MS"/>
          <w:b/>
          <w:bCs/>
          <w:color w:val="000000" w:themeColor="text1"/>
          <w:lang w:val="ro-RO"/>
        </w:rPr>
        <w:t>Calculul cuantumurilor ponderate la risc ale expunerilor și al cuantumurilor pierderilor așteptate în cazul portofoliilor de protecții finanțate ale creditului eligibile pentru o expunere tratată conform abordării IRB</w:t>
      </w:r>
    </w:p>
    <w:p w14:paraId="0179602A" w14:textId="3C63DD0A" w:rsidR="006F667E" w:rsidRPr="002D468A" w:rsidRDefault="006F667E" w:rsidP="006F667E">
      <w:pPr>
        <w:pStyle w:val="norm"/>
        <w:shd w:val="clear" w:color="auto" w:fill="FFFFFF"/>
        <w:spacing w:before="0" w:beforeAutospacing="0" w:after="0" w:afterAutospacing="0" w:line="312" w:lineRule="atLeast"/>
        <w:jc w:val="both"/>
        <w:rPr>
          <w:rFonts w:eastAsia="Arial Unicode MS"/>
          <w:color w:val="000000" w:themeColor="text1"/>
          <w:lang w:val="ro-RO"/>
        </w:rPr>
      </w:pPr>
      <w:r w:rsidRPr="002D468A">
        <w:rPr>
          <w:b/>
          <w:bCs/>
          <w:color w:val="000000" w:themeColor="text1"/>
          <w:lang w:val="ro-RO"/>
        </w:rPr>
        <w:t>107</w:t>
      </w:r>
      <w:r w:rsidRPr="002D468A">
        <w:rPr>
          <w:b/>
          <w:bCs/>
          <w:color w:val="000000" w:themeColor="text1"/>
          <w:vertAlign w:val="superscript"/>
          <w:lang w:val="ro-RO"/>
        </w:rPr>
        <w:t>1</w:t>
      </w:r>
      <w:r w:rsidR="00200D4A" w:rsidRPr="002D468A">
        <w:rPr>
          <w:b/>
          <w:bCs/>
          <w:color w:val="000000" w:themeColor="text1"/>
          <w:vertAlign w:val="superscript"/>
          <w:lang w:val="ro-RO"/>
        </w:rPr>
        <w:t>1</w:t>
      </w:r>
      <w:r w:rsidRPr="002D468A">
        <w:rPr>
          <w:b/>
          <w:bCs/>
          <w:color w:val="000000" w:themeColor="text1"/>
          <w:lang w:val="ro-RO"/>
        </w:rPr>
        <w:t xml:space="preserve">. </w:t>
      </w:r>
      <w:r w:rsidRPr="002D468A">
        <w:rPr>
          <w:rFonts w:eastAsia="Arial Unicode MS"/>
          <w:color w:val="000000" w:themeColor="text1"/>
          <w:lang w:val="ro-RO"/>
        </w:rPr>
        <w:t>Băncile care au obținut mai multe tipuri de protecție finanțată a creditului pot, pentru expunerile tratate conform abordării IRB, să aplice formula prevăzută la secțiunea 9</w:t>
      </w:r>
      <w:r w:rsidRPr="002D468A">
        <w:rPr>
          <w:rFonts w:eastAsia="Arial Unicode MS"/>
          <w:color w:val="000000" w:themeColor="text1"/>
          <w:vertAlign w:val="superscript"/>
          <w:lang w:val="ro-RO"/>
        </w:rPr>
        <w:t>2</w:t>
      </w:r>
      <w:r w:rsidRPr="002D468A">
        <w:rPr>
          <w:rFonts w:eastAsia="Arial Unicode MS"/>
          <w:color w:val="000000" w:themeColor="text1"/>
          <w:lang w:val="ro-RO"/>
        </w:rPr>
        <w:t xml:space="preserve"> din prezentul capitol în mod secvențial pentru fiecare tip de garanție reală. </w:t>
      </w:r>
    </w:p>
    <w:p w14:paraId="286AE5DA" w14:textId="63C1546A" w:rsidR="006F667E" w:rsidRPr="002D468A" w:rsidRDefault="006F667E" w:rsidP="006F667E">
      <w:pPr>
        <w:pStyle w:val="norm"/>
        <w:shd w:val="clear" w:color="auto" w:fill="FFFFFF"/>
        <w:spacing w:before="0" w:beforeAutospacing="0" w:after="0" w:afterAutospacing="0" w:line="312" w:lineRule="atLeast"/>
        <w:jc w:val="both"/>
        <w:rPr>
          <w:rFonts w:eastAsia="Arial Unicode MS"/>
          <w:color w:val="000000" w:themeColor="text1"/>
          <w:lang w:val="ro-RO"/>
        </w:rPr>
      </w:pPr>
      <w:r w:rsidRPr="002D468A">
        <w:rPr>
          <w:b/>
          <w:bCs/>
          <w:color w:val="000000" w:themeColor="text1"/>
          <w:lang w:val="ro-RO"/>
        </w:rPr>
        <w:t>107</w:t>
      </w:r>
      <w:r w:rsidRPr="002D468A">
        <w:rPr>
          <w:b/>
          <w:bCs/>
          <w:color w:val="000000" w:themeColor="text1"/>
          <w:vertAlign w:val="superscript"/>
          <w:lang w:val="ro-RO"/>
        </w:rPr>
        <w:t>1</w:t>
      </w:r>
      <w:r w:rsidR="00200D4A" w:rsidRPr="002D468A">
        <w:rPr>
          <w:b/>
          <w:bCs/>
          <w:color w:val="000000" w:themeColor="text1"/>
          <w:vertAlign w:val="superscript"/>
          <w:lang w:val="ro-RO"/>
        </w:rPr>
        <w:t>2</w:t>
      </w:r>
      <w:r w:rsidRPr="002D468A">
        <w:rPr>
          <w:b/>
          <w:bCs/>
          <w:color w:val="000000" w:themeColor="text1"/>
          <w:lang w:val="ro-RO"/>
        </w:rPr>
        <w:t xml:space="preserve">. </w:t>
      </w:r>
      <w:r w:rsidRPr="002D468A">
        <w:rPr>
          <w:rFonts w:eastAsia="Arial Unicode MS"/>
          <w:color w:val="000000" w:themeColor="text1"/>
          <w:lang w:val="ro-RO"/>
        </w:rPr>
        <w:t>În scopul punctului 107</w:t>
      </w:r>
      <w:r w:rsidRPr="002D468A">
        <w:rPr>
          <w:rFonts w:eastAsia="Arial Unicode MS"/>
          <w:color w:val="000000" w:themeColor="text1"/>
          <w:vertAlign w:val="superscript"/>
          <w:lang w:val="ro-RO"/>
        </w:rPr>
        <w:t>1</w:t>
      </w:r>
      <w:r w:rsidR="00200D4A" w:rsidRPr="002D468A">
        <w:rPr>
          <w:rFonts w:eastAsia="Arial Unicode MS"/>
          <w:color w:val="000000" w:themeColor="text1"/>
          <w:vertAlign w:val="superscript"/>
          <w:lang w:val="ro-RO"/>
        </w:rPr>
        <w:t>1</w:t>
      </w:r>
      <w:r w:rsidRPr="002D468A">
        <w:rPr>
          <w:rFonts w:eastAsia="Arial Unicode MS"/>
          <w:color w:val="000000" w:themeColor="text1"/>
          <w:lang w:val="ro-RO"/>
        </w:rPr>
        <w:t>, după fiecare etapă de recunoaștere a unui tip de protecție finanțată a creditului, băncile reduc valoarea expunerii negarantate rămase (E</w:t>
      </w:r>
      <w:r w:rsidRPr="002D468A">
        <w:rPr>
          <w:rStyle w:val="subscript"/>
          <w:rFonts w:eastAsia="Arial Unicode MS"/>
          <w:color w:val="000000" w:themeColor="text1"/>
          <w:vertAlign w:val="subscript"/>
          <w:lang w:val="ro-RO"/>
        </w:rPr>
        <w:t>U</w:t>
      </w:r>
      <w:r w:rsidRPr="002D468A">
        <w:rPr>
          <w:rFonts w:eastAsia="Arial Unicode MS"/>
          <w:color w:val="000000" w:themeColor="text1"/>
          <w:lang w:val="ro-RO"/>
        </w:rPr>
        <w:t>) cu valoarea ajustată a garanției reale (E</w:t>
      </w:r>
      <w:r w:rsidRPr="002D468A">
        <w:rPr>
          <w:rStyle w:val="subscript"/>
          <w:rFonts w:eastAsia="Arial Unicode MS"/>
          <w:color w:val="000000" w:themeColor="text1"/>
          <w:vertAlign w:val="subscript"/>
          <w:lang w:val="ro-RO"/>
        </w:rPr>
        <w:t>S</w:t>
      </w:r>
      <w:r w:rsidRPr="002D468A">
        <w:rPr>
          <w:rFonts w:eastAsia="Arial Unicode MS"/>
          <w:color w:val="000000" w:themeColor="text1"/>
          <w:lang w:val="ro-RO"/>
        </w:rPr>
        <w:t>) recunoscute în etapa respectivă. În conformitate cu punctul 107</w:t>
      </w:r>
      <w:r w:rsidRPr="002D468A">
        <w:rPr>
          <w:rFonts w:eastAsia="Arial Unicode MS"/>
          <w:color w:val="000000" w:themeColor="text1"/>
          <w:vertAlign w:val="superscript"/>
          <w:lang w:val="ro-RO"/>
        </w:rPr>
        <w:t>6</w:t>
      </w:r>
      <w:r w:rsidRPr="002D468A">
        <w:rPr>
          <w:rFonts w:eastAsia="Arial Unicode MS"/>
          <w:color w:val="000000" w:themeColor="text1"/>
          <w:lang w:val="ro-RO"/>
        </w:rPr>
        <w:t>, totalul E</w:t>
      </w:r>
      <w:r w:rsidRPr="002D468A">
        <w:rPr>
          <w:rStyle w:val="subscript"/>
          <w:rFonts w:eastAsia="Arial Unicode MS"/>
          <w:color w:val="000000" w:themeColor="text1"/>
          <w:vertAlign w:val="subscript"/>
          <w:lang w:val="ro-RO"/>
        </w:rPr>
        <w:t>S</w:t>
      </w:r>
      <w:r w:rsidRPr="002D468A">
        <w:rPr>
          <w:rFonts w:eastAsia="Arial Unicode MS"/>
          <w:color w:val="000000" w:themeColor="text1"/>
          <w:lang w:val="ro-RO"/>
        </w:rPr>
        <w:t> pentru toate tipurile de protecție finanțată a creditului este plafonat la valoarea E·(1+H</w:t>
      </w:r>
      <w:r w:rsidRPr="002D468A">
        <w:rPr>
          <w:rStyle w:val="subscript"/>
          <w:rFonts w:eastAsia="Arial Unicode MS"/>
          <w:color w:val="000000" w:themeColor="text1"/>
          <w:vertAlign w:val="subscript"/>
          <w:lang w:val="ro-RO"/>
        </w:rPr>
        <w:t>E</w:t>
      </w:r>
      <w:r w:rsidRPr="002D468A">
        <w:rPr>
          <w:rFonts w:eastAsia="Arial Unicode MS"/>
          <w:color w:val="000000" w:themeColor="text1"/>
          <w:lang w:val="ro-RO"/>
        </w:rPr>
        <w:t>), având ca rezultat următoarea formulă:</w:t>
      </w:r>
    </w:p>
    <w:p w14:paraId="2800B7B0" w14:textId="77777777" w:rsidR="006F667E" w:rsidRPr="002D468A" w:rsidRDefault="006F667E" w:rsidP="006F667E">
      <w:pPr>
        <w:pStyle w:val="norm"/>
        <w:shd w:val="clear" w:color="auto" w:fill="FFFFFF"/>
        <w:spacing w:before="0" w:beforeAutospacing="0" w:after="0" w:afterAutospacing="0" w:line="312" w:lineRule="atLeast"/>
        <w:jc w:val="both"/>
        <w:rPr>
          <w:rFonts w:eastAsia="Arial Unicode MS"/>
          <w:color w:val="000000" w:themeColor="text1"/>
          <w:lang w:val="ro-RO"/>
        </w:rPr>
      </w:pPr>
      <w:r w:rsidRPr="002D468A">
        <w:rPr>
          <w:b/>
          <w:bCs/>
          <w:noProof/>
          <w:color w:val="000000" w:themeColor="text1"/>
          <w:lang w:val="ro-RO"/>
        </w:rPr>
        <w:drawing>
          <wp:inline distT="0" distB="0" distL="0" distR="0" wp14:anchorId="6800D7CF" wp14:editId="03640C2D">
            <wp:extent cx="3714750" cy="495300"/>
            <wp:effectExtent l="0" t="0" r="0" b="0"/>
            <wp:docPr id="5" name="Picture 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14750" cy="495300"/>
                    </a:xfrm>
                    <a:prstGeom prst="rect">
                      <a:avLst/>
                    </a:prstGeom>
                    <a:noFill/>
                    <a:ln>
                      <a:noFill/>
                    </a:ln>
                  </pic:spPr>
                </pic:pic>
              </a:graphicData>
            </a:graphic>
          </wp:inline>
        </w:drawing>
      </w:r>
    </w:p>
    <w:p w14:paraId="3E939199" w14:textId="77777777" w:rsidR="006F667E" w:rsidRPr="002D468A" w:rsidRDefault="006F667E" w:rsidP="006F667E">
      <w:pPr>
        <w:pStyle w:val="norm"/>
        <w:shd w:val="clear" w:color="auto" w:fill="FFFFFF"/>
        <w:spacing w:before="0" w:beforeAutospacing="0" w:after="0" w:afterAutospacing="0" w:line="312" w:lineRule="atLeast"/>
        <w:jc w:val="both"/>
        <w:rPr>
          <w:rFonts w:eastAsia="Arial Unicode MS"/>
          <w:color w:val="000000" w:themeColor="text1"/>
          <w:lang w:val="ro-RO"/>
        </w:rPr>
      </w:pPr>
      <w:r w:rsidRPr="002D468A">
        <w:rPr>
          <w:rFonts w:eastAsia="Arial Unicode MS"/>
          <w:color w:val="000000" w:themeColor="text1"/>
          <w:lang w:val="ro-RO"/>
        </w:rPr>
        <w:t>unde: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
        <w:gridCol w:w="8806"/>
      </w:tblGrid>
      <w:tr w:rsidR="001D4B0D" w:rsidRPr="002D468A" w14:paraId="319B3866" w14:textId="77777777" w:rsidTr="001D4B0D">
        <w:tc>
          <w:tcPr>
            <w:tcW w:w="846" w:type="dxa"/>
          </w:tcPr>
          <w:p w14:paraId="1B232A0C" w14:textId="1909FFF6" w:rsidR="001D4B0D" w:rsidRPr="002D468A" w:rsidRDefault="001D4B0D" w:rsidP="006F667E">
            <w:pPr>
              <w:pStyle w:val="norm"/>
              <w:spacing w:before="0" w:beforeAutospacing="0" w:after="0" w:afterAutospacing="0" w:line="312" w:lineRule="atLeast"/>
              <w:jc w:val="both"/>
              <w:rPr>
                <w:rFonts w:eastAsia="Arial Unicode MS"/>
                <w:color w:val="000000" w:themeColor="text1"/>
                <w:lang w:val="ro-RO"/>
              </w:rPr>
            </w:pPr>
            <w:proofErr w:type="spellStart"/>
            <w:r w:rsidRPr="002D468A">
              <w:rPr>
                <w:color w:val="000000" w:themeColor="text1"/>
                <w:lang w:val="ro-RO"/>
              </w:rPr>
              <w:t>LGD</w:t>
            </w:r>
            <w:r w:rsidRPr="002D468A">
              <w:rPr>
                <w:rStyle w:val="subscript"/>
                <w:color w:val="000000" w:themeColor="text1"/>
                <w:vertAlign w:val="subscript"/>
                <w:lang w:val="ro-RO"/>
              </w:rPr>
              <w:t>S,i</w:t>
            </w:r>
            <w:proofErr w:type="spellEnd"/>
          </w:p>
        </w:tc>
        <w:tc>
          <w:tcPr>
            <w:tcW w:w="8833" w:type="dxa"/>
          </w:tcPr>
          <w:p w14:paraId="2F10C67B" w14:textId="25C47989" w:rsidR="001D4B0D" w:rsidRPr="002D468A" w:rsidRDefault="001D4B0D" w:rsidP="006F667E">
            <w:pPr>
              <w:pStyle w:val="norm"/>
              <w:spacing w:before="0" w:beforeAutospacing="0" w:after="0" w:afterAutospacing="0" w:line="312" w:lineRule="atLeast"/>
              <w:jc w:val="both"/>
              <w:rPr>
                <w:rFonts w:eastAsia="Arial Unicode MS"/>
                <w:color w:val="000000" w:themeColor="text1"/>
                <w:lang w:val="ro-RO"/>
              </w:rPr>
            </w:pPr>
            <w:r w:rsidRPr="002D468A">
              <w:rPr>
                <w:color w:val="000000" w:themeColor="text1"/>
                <w:lang w:val="ro-RO"/>
              </w:rPr>
              <w:t xml:space="preserve">= LGD aplicabilă </w:t>
            </w:r>
            <w:proofErr w:type="spellStart"/>
            <w:r w:rsidRPr="002D468A">
              <w:rPr>
                <w:color w:val="000000" w:themeColor="text1"/>
                <w:lang w:val="ro-RO"/>
              </w:rPr>
              <w:t>FCPi</w:t>
            </w:r>
            <w:proofErr w:type="spellEnd"/>
            <w:r w:rsidRPr="002D468A">
              <w:rPr>
                <w:color w:val="000000" w:themeColor="text1"/>
                <w:lang w:val="ro-RO"/>
              </w:rPr>
              <w:t>, astfel cum se specifică la punctul 107</w:t>
            </w:r>
            <w:r w:rsidRPr="002D468A">
              <w:rPr>
                <w:color w:val="000000" w:themeColor="text1"/>
                <w:vertAlign w:val="superscript"/>
                <w:lang w:val="ro-RO"/>
              </w:rPr>
              <w:t>7</w:t>
            </w:r>
            <w:r w:rsidRPr="002D468A">
              <w:rPr>
                <w:color w:val="000000" w:themeColor="text1"/>
                <w:lang w:val="ro-RO"/>
              </w:rPr>
              <w:t>;</w:t>
            </w:r>
          </w:p>
        </w:tc>
      </w:tr>
      <w:tr w:rsidR="001D4B0D" w:rsidRPr="002D468A" w14:paraId="1BB3D14A" w14:textId="77777777" w:rsidTr="001D4B0D">
        <w:tc>
          <w:tcPr>
            <w:tcW w:w="846" w:type="dxa"/>
          </w:tcPr>
          <w:p w14:paraId="2ACF611F" w14:textId="4B89D956" w:rsidR="001D4B0D" w:rsidRPr="002D468A" w:rsidRDefault="001D4B0D" w:rsidP="006F667E">
            <w:pPr>
              <w:pStyle w:val="norm"/>
              <w:spacing w:before="0" w:beforeAutospacing="0" w:after="0" w:afterAutospacing="0" w:line="312" w:lineRule="atLeast"/>
              <w:jc w:val="both"/>
              <w:rPr>
                <w:rFonts w:eastAsia="Arial Unicode MS"/>
                <w:color w:val="000000" w:themeColor="text1"/>
                <w:lang w:val="ro-RO"/>
              </w:rPr>
            </w:pPr>
            <w:proofErr w:type="spellStart"/>
            <w:r w:rsidRPr="002D468A">
              <w:rPr>
                <w:color w:val="000000" w:themeColor="text1"/>
                <w:lang w:val="ro-RO"/>
              </w:rPr>
              <w:t>E</w:t>
            </w:r>
            <w:r w:rsidRPr="002D468A">
              <w:rPr>
                <w:rStyle w:val="subscript"/>
                <w:color w:val="000000" w:themeColor="text1"/>
                <w:vertAlign w:val="subscript"/>
                <w:lang w:val="ro-RO"/>
              </w:rPr>
              <w:t>S,i</w:t>
            </w:r>
            <w:proofErr w:type="spellEnd"/>
          </w:p>
        </w:tc>
        <w:tc>
          <w:tcPr>
            <w:tcW w:w="8833" w:type="dxa"/>
          </w:tcPr>
          <w:p w14:paraId="70CDA159" w14:textId="31F202DF" w:rsidR="001D4B0D" w:rsidRPr="002D468A" w:rsidRDefault="001D4B0D" w:rsidP="006F667E">
            <w:pPr>
              <w:pStyle w:val="norm"/>
              <w:spacing w:before="0" w:beforeAutospacing="0" w:after="0" w:afterAutospacing="0" w:line="312" w:lineRule="atLeast"/>
              <w:jc w:val="both"/>
              <w:rPr>
                <w:rFonts w:eastAsia="Arial Unicode MS"/>
                <w:color w:val="000000" w:themeColor="text1"/>
                <w:lang w:val="ro-RO"/>
              </w:rPr>
            </w:pPr>
            <w:r w:rsidRPr="002D468A">
              <w:rPr>
                <w:color w:val="000000" w:themeColor="text1"/>
                <w:lang w:val="ro-RO"/>
              </w:rPr>
              <w:t>= valoarea curentă a </w:t>
            </w:r>
            <w:proofErr w:type="spellStart"/>
            <w:r w:rsidRPr="002D468A">
              <w:rPr>
                <w:color w:val="000000" w:themeColor="text1"/>
                <w:lang w:val="ro-RO"/>
              </w:rPr>
              <w:t>FCPi</w:t>
            </w:r>
            <w:proofErr w:type="spellEnd"/>
            <w:r w:rsidRPr="002D468A">
              <w:rPr>
                <w:color w:val="000000" w:themeColor="text1"/>
                <w:lang w:val="ro-RO"/>
              </w:rPr>
              <w:t> primită după aplicarea ajustării de volatilitate aplicabile pentru tipul de protecție finanțată a creditului (H</w:t>
            </w:r>
            <w:r w:rsidRPr="002D468A">
              <w:rPr>
                <w:rStyle w:val="subscript"/>
                <w:color w:val="000000" w:themeColor="text1"/>
                <w:vertAlign w:val="subscript"/>
                <w:lang w:val="ro-RO"/>
              </w:rPr>
              <w:t>c</w:t>
            </w:r>
            <w:r w:rsidRPr="002D468A">
              <w:rPr>
                <w:color w:val="000000" w:themeColor="text1"/>
                <w:lang w:val="ro-RO"/>
              </w:rPr>
              <w:t>) în temeiul punctului 107</w:t>
            </w:r>
            <w:r w:rsidRPr="002D468A">
              <w:rPr>
                <w:color w:val="000000" w:themeColor="text1"/>
                <w:vertAlign w:val="superscript"/>
                <w:lang w:val="ro-RO"/>
              </w:rPr>
              <w:t>7</w:t>
            </w:r>
            <w:r w:rsidRPr="002D468A">
              <w:rPr>
                <w:color w:val="000000" w:themeColor="text1"/>
                <w:lang w:val="ro-RO"/>
              </w:rPr>
              <w:t>.</w:t>
            </w:r>
            <w:r w:rsidRPr="002D468A">
              <w:rPr>
                <w:color w:val="000000" w:themeColor="text1"/>
                <w:sz w:val="18"/>
                <w:szCs w:val="18"/>
                <w:lang w:val="ro-RO"/>
              </w:rPr>
              <w:t>”</w:t>
            </w:r>
          </w:p>
        </w:tc>
      </w:tr>
    </w:tbl>
    <w:tbl>
      <w:tblPr>
        <w:tblW w:w="5000" w:type="pct"/>
        <w:tblCellMar>
          <w:left w:w="0" w:type="dxa"/>
          <w:right w:w="0" w:type="dxa"/>
        </w:tblCellMar>
        <w:tblLook w:val="04A0" w:firstRow="1" w:lastRow="0" w:firstColumn="1" w:lastColumn="0" w:noHBand="0" w:noVBand="1"/>
      </w:tblPr>
      <w:tblGrid>
        <w:gridCol w:w="4844"/>
        <w:gridCol w:w="4845"/>
      </w:tblGrid>
      <w:tr w:rsidR="000B2CBE" w:rsidRPr="002D468A" w14:paraId="7BDC9438" w14:textId="77777777" w:rsidTr="008D25C5">
        <w:tc>
          <w:tcPr>
            <w:tcW w:w="0" w:type="auto"/>
            <w:hideMark/>
          </w:tcPr>
          <w:p w14:paraId="3E4574AF" w14:textId="5066F676" w:rsidR="006F667E" w:rsidRPr="002D468A" w:rsidRDefault="006F667E" w:rsidP="008D25C5">
            <w:pPr>
              <w:pStyle w:val="dlist-term"/>
              <w:spacing w:before="0" w:beforeAutospacing="0" w:after="0" w:afterAutospacing="0" w:line="312" w:lineRule="atLeast"/>
              <w:rPr>
                <w:color w:val="000000" w:themeColor="text1"/>
                <w:lang w:val="ro-RO"/>
              </w:rPr>
            </w:pPr>
          </w:p>
        </w:tc>
        <w:tc>
          <w:tcPr>
            <w:tcW w:w="0" w:type="auto"/>
            <w:hideMark/>
          </w:tcPr>
          <w:p w14:paraId="099A347F" w14:textId="2016CD08" w:rsidR="006F667E" w:rsidRPr="002D468A" w:rsidRDefault="006F667E" w:rsidP="008D25C5">
            <w:pPr>
              <w:pStyle w:val="norm"/>
              <w:spacing w:before="0" w:beforeAutospacing="0" w:after="0" w:afterAutospacing="0" w:line="312" w:lineRule="atLeast"/>
              <w:jc w:val="both"/>
              <w:rPr>
                <w:color w:val="000000" w:themeColor="text1"/>
                <w:lang w:val="ro-RO"/>
              </w:rPr>
            </w:pPr>
          </w:p>
        </w:tc>
      </w:tr>
    </w:tbl>
    <w:p w14:paraId="582F2F5D" w14:textId="77777777" w:rsidR="006F667E" w:rsidRPr="002D468A" w:rsidRDefault="006F667E" w:rsidP="001D4B0D">
      <w:pPr>
        <w:shd w:val="clear" w:color="auto" w:fill="FFFFFF"/>
        <w:spacing w:before="120"/>
        <w:rPr>
          <w:rFonts w:eastAsia="Arial Unicode MS"/>
          <w:vanish/>
          <w:color w:val="000000" w:themeColor="text1"/>
          <w:lang w:val="ro-RO"/>
        </w:rPr>
      </w:pPr>
    </w:p>
    <w:p w14:paraId="2138E147" w14:textId="1136C661" w:rsidR="007E6E1A" w:rsidRPr="002D468A" w:rsidRDefault="000D2636" w:rsidP="001D4B0D">
      <w:pPr>
        <w:pStyle w:val="ListParagraph"/>
        <w:numPr>
          <w:ilvl w:val="1"/>
          <w:numId w:val="27"/>
        </w:numPr>
        <w:tabs>
          <w:tab w:val="left" w:pos="567"/>
        </w:tabs>
        <w:spacing w:before="120"/>
        <w:ind w:left="0" w:firstLine="567"/>
        <w:contextualSpacing w:val="0"/>
        <w:jc w:val="both"/>
        <w:rPr>
          <w:color w:val="000000" w:themeColor="text1"/>
          <w:lang w:val="ro-RO"/>
        </w:rPr>
      </w:pPr>
      <w:r w:rsidRPr="002D468A">
        <w:rPr>
          <w:color w:val="000000" w:themeColor="text1"/>
          <w:lang w:val="ro-RO" w:eastAsia="ro-MD"/>
        </w:rPr>
        <w:t>Se completează cu punctele 108</w:t>
      </w:r>
      <w:r w:rsidRPr="002D468A">
        <w:rPr>
          <w:color w:val="000000" w:themeColor="text1"/>
          <w:vertAlign w:val="superscript"/>
          <w:lang w:val="ro-RO" w:eastAsia="ro-MD"/>
        </w:rPr>
        <w:t>1</w:t>
      </w:r>
      <w:r w:rsidRPr="002D468A">
        <w:rPr>
          <w:color w:val="000000" w:themeColor="text1"/>
          <w:lang w:val="ro-RO" w:eastAsia="ro-MD"/>
        </w:rPr>
        <w:t xml:space="preserve"> și 108</w:t>
      </w:r>
      <w:r w:rsidRPr="002D468A">
        <w:rPr>
          <w:color w:val="000000" w:themeColor="text1"/>
          <w:vertAlign w:val="superscript"/>
          <w:lang w:val="ro-RO" w:eastAsia="ro-MD"/>
        </w:rPr>
        <w:t>2</w:t>
      </w:r>
      <w:r w:rsidRPr="002D468A">
        <w:rPr>
          <w:color w:val="000000" w:themeColor="text1"/>
          <w:lang w:val="ro-RO" w:eastAsia="ro-MD"/>
        </w:rPr>
        <w:t xml:space="preserve"> cu următorul cuprins:</w:t>
      </w:r>
    </w:p>
    <w:p w14:paraId="40D2A645" w14:textId="77777777" w:rsidR="000D2636" w:rsidRPr="002D468A" w:rsidRDefault="000D2636" w:rsidP="000D2636">
      <w:pPr>
        <w:jc w:val="both"/>
        <w:rPr>
          <w:color w:val="000000" w:themeColor="text1"/>
          <w:lang w:val="ro-RO" w:eastAsia="ro-MD"/>
        </w:rPr>
      </w:pPr>
      <w:r w:rsidRPr="002D468A">
        <w:rPr>
          <w:color w:val="000000" w:themeColor="text1"/>
          <w:lang w:val="ro-RO"/>
        </w:rPr>
        <w:t>„</w:t>
      </w:r>
      <w:r w:rsidRPr="002D468A">
        <w:rPr>
          <w:b/>
          <w:bCs/>
          <w:color w:val="000000" w:themeColor="text1"/>
          <w:lang w:val="ro-RO" w:eastAsia="ro-MD"/>
        </w:rPr>
        <w:t>108</w:t>
      </w:r>
      <w:r w:rsidRPr="002D468A">
        <w:rPr>
          <w:b/>
          <w:bCs/>
          <w:color w:val="000000" w:themeColor="text1"/>
          <w:vertAlign w:val="superscript"/>
          <w:lang w:val="ro-RO" w:eastAsia="ro-MD"/>
        </w:rPr>
        <w:t>1</w:t>
      </w:r>
      <w:r w:rsidRPr="002D468A">
        <w:rPr>
          <w:b/>
          <w:bCs/>
          <w:color w:val="000000" w:themeColor="text1"/>
          <w:lang w:val="ro-RO" w:eastAsia="ro-MD"/>
        </w:rPr>
        <w:t xml:space="preserve">. </w:t>
      </w:r>
      <w:r w:rsidRPr="002D468A">
        <w:rPr>
          <w:color w:val="000000" w:themeColor="text1"/>
          <w:lang w:val="ro-RO" w:eastAsia="ro-MD"/>
        </w:rPr>
        <w:t>Dacă sunt îndeplinite condițiile prevăzute la punctul 51</w:t>
      </w:r>
      <w:r w:rsidRPr="002D468A">
        <w:rPr>
          <w:color w:val="000000" w:themeColor="text1"/>
          <w:vertAlign w:val="superscript"/>
          <w:lang w:val="ro-RO" w:eastAsia="ro-MD"/>
        </w:rPr>
        <w:t>1</w:t>
      </w:r>
      <w:r w:rsidRPr="002D468A">
        <w:rPr>
          <w:color w:val="000000" w:themeColor="text1"/>
          <w:lang w:val="ro-RO" w:eastAsia="ro-MD"/>
        </w:rPr>
        <w:t>, băncile trebuie să aplice următorul tratament pentru partea din expunere garantată cu valoarea curentă de răscumpărare a polițelor de asigurare de viață gajate în favoarea băncii creditoare:</w:t>
      </w:r>
    </w:p>
    <w:p w14:paraId="6C418EB7" w14:textId="77777777" w:rsidR="000D2636" w:rsidRPr="002D468A" w:rsidRDefault="000D2636" w:rsidP="000D2636">
      <w:pPr>
        <w:ind w:firstLine="567"/>
        <w:jc w:val="both"/>
        <w:rPr>
          <w:color w:val="000000" w:themeColor="text1"/>
          <w:lang w:val="ro-RO" w:eastAsia="ro-MD"/>
        </w:rPr>
      </w:pPr>
      <w:r w:rsidRPr="002D468A">
        <w:rPr>
          <w:color w:val="000000" w:themeColor="text1"/>
          <w:lang w:val="ro-RO" w:eastAsia="ro-MD"/>
        </w:rPr>
        <w:lastRenderedPageBreak/>
        <w:t>1) dacă expunerea face obiectul abordării standardizate, aceasta trebuie ponderată la risc utilizând ponderile de risc specificate la punctul 108</w:t>
      </w:r>
      <w:r w:rsidRPr="002D468A">
        <w:rPr>
          <w:color w:val="000000" w:themeColor="text1"/>
          <w:vertAlign w:val="superscript"/>
          <w:lang w:val="ro-RO" w:eastAsia="ro-MD"/>
        </w:rPr>
        <w:t>2</w:t>
      </w:r>
      <w:r w:rsidRPr="002D468A">
        <w:rPr>
          <w:color w:val="000000" w:themeColor="text1"/>
          <w:lang w:val="ro-RO" w:eastAsia="ro-MD"/>
        </w:rPr>
        <w:t>;</w:t>
      </w:r>
    </w:p>
    <w:p w14:paraId="2A0CE0AB" w14:textId="7975C9BD" w:rsidR="000D2636" w:rsidRPr="002D468A" w:rsidRDefault="000D2636" w:rsidP="000D2636">
      <w:pPr>
        <w:ind w:firstLine="567"/>
        <w:jc w:val="both"/>
        <w:rPr>
          <w:color w:val="000000" w:themeColor="text1"/>
          <w:lang w:val="ro-RO" w:eastAsia="ro-MD"/>
        </w:rPr>
      </w:pPr>
      <w:r w:rsidRPr="002D468A">
        <w:rPr>
          <w:color w:val="000000" w:themeColor="text1"/>
          <w:lang w:val="ro-RO" w:eastAsia="ro-MD"/>
        </w:rPr>
        <w:t>2) dacă expunerea face obiectul abordării IRB dar nu și al estimărilor proprii ale băncii cu privire la pierderea în caz de nerambursare, i se atribuie o pierdere în caz de nerambursare de 40%.</w:t>
      </w:r>
    </w:p>
    <w:p w14:paraId="4B13C009" w14:textId="010065DA" w:rsidR="000D2636" w:rsidRPr="002D468A" w:rsidRDefault="000D2636" w:rsidP="000D2636">
      <w:pPr>
        <w:ind w:firstLine="567"/>
        <w:jc w:val="both"/>
        <w:rPr>
          <w:color w:val="000000" w:themeColor="text1"/>
          <w:lang w:val="ro-RO" w:eastAsia="ro-MD"/>
        </w:rPr>
      </w:pPr>
      <w:r w:rsidRPr="002D468A">
        <w:rPr>
          <w:color w:val="000000" w:themeColor="text1"/>
          <w:lang w:val="ro-RO" w:eastAsia="ro-MD"/>
        </w:rPr>
        <w:t>În cazul unei neconcordanțe de monede, băncile trebuie să reducă valoarea curentă de răscumpărare în conformitate cu punctul 112, valoarea protecției creditului fiind valoarea curentă de răscumpărare a poliței de asigurare de viață.</w:t>
      </w:r>
    </w:p>
    <w:p w14:paraId="4FBAF0C9" w14:textId="77777777" w:rsidR="000D2636" w:rsidRPr="002D468A" w:rsidRDefault="000D2636" w:rsidP="00D244A6">
      <w:pPr>
        <w:jc w:val="both"/>
        <w:rPr>
          <w:color w:val="000000" w:themeColor="text1"/>
          <w:lang w:val="ro-RO" w:eastAsia="ro-MD"/>
        </w:rPr>
      </w:pPr>
      <w:r w:rsidRPr="002D468A">
        <w:rPr>
          <w:b/>
          <w:bCs/>
          <w:color w:val="000000" w:themeColor="text1"/>
          <w:lang w:val="ro-RO" w:eastAsia="ro-MD"/>
        </w:rPr>
        <w:t>108</w:t>
      </w:r>
      <w:r w:rsidRPr="002D468A">
        <w:rPr>
          <w:b/>
          <w:bCs/>
          <w:color w:val="000000" w:themeColor="text1"/>
          <w:vertAlign w:val="superscript"/>
          <w:lang w:val="ro-RO" w:eastAsia="ro-MD"/>
        </w:rPr>
        <w:t>2</w:t>
      </w:r>
      <w:r w:rsidRPr="002D468A">
        <w:rPr>
          <w:b/>
          <w:bCs/>
          <w:color w:val="000000" w:themeColor="text1"/>
          <w:lang w:val="ro-RO" w:eastAsia="ro-MD"/>
        </w:rPr>
        <w:t>.</w:t>
      </w:r>
      <w:r w:rsidRPr="002D468A">
        <w:rPr>
          <w:color w:val="000000" w:themeColor="text1"/>
          <w:lang w:val="ro-RO" w:eastAsia="ro-MD"/>
        </w:rPr>
        <w:t xml:space="preserve"> În sensul punctului 108</w:t>
      </w:r>
      <w:r w:rsidRPr="002D468A">
        <w:rPr>
          <w:color w:val="000000" w:themeColor="text1"/>
          <w:vertAlign w:val="superscript"/>
          <w:lang w:val="ro-RO" w:eastAsia="ro-MD"/>
        </w:rPr>
        <w:t>1</w:t>
      </w:r>
      <w:r w:rsidRPr="002D468A">
        <w:rPr>
          <w:color w:val="000000" w:themeColor="text1"/>
          <w:lang w:val="ro-RO" w:eastAsia="ro-MD"/>
        </w:rPr>
        <w:t xml:space="preserve"> subpunctul 1), băncile atribuie următoarele ponderi de risc, pe baza ponderii de risc atribuite unei expuneri cu rang prioritar negarantată față de întreprinderea care furnizează asigurarea de viață:</w:t>
      </w:r>
    </w:p>
    <w:p w14:paraId="51B42EDA" w14:textId="0091B07B" w:rsidR="000D2636" w:rsidRPr="002D468A" w:rsidRDefault="000D2636" w:rsidP="000D2636">
      <w:pPr>
        <w:ind w:firstLine="567"/>
        <w:jc w:val="both"/>
        <w:rPr>
          <w:color w:val="000000" w:themeColor="text1"/>
          <w:lang w:val="ro-RO" w:eastAsia="ro-MD"/>
        </w:rPr>
      </w:pPr>
      <w:r w:rsidRPr="002D468A">
        <w:rPr>
          <w:color w:val="000000" w:themeColor="text1"/>
          <w:lang w:val="ro-RO" w:eastAsia="ro-MD"/>
        </w:rPr>
        <w:t>1) o pondere de risc de 20%, dacă expunerii cu rang prioritar negarantate față de întreprinderea care furnizează asigurarea de viață i se atribuie o pondere de risc de 20%;</w:t>
      </w:r>
    </w:p>
    <w:p w14:paraId="08764740" w14:textId="061F79D6" w:rsidR="000D2636" w:rsidRPr="002D468A" w:rsidRDefault="000D2636" w:rsidP="000D2636">
      <w:pPr>
        <w:ind w:firstLine="567"/>
        <w:jc w:val="both"/>
        <w:rPr>
          <w:color w:val="000000" w:themeColor="text1"/>
          <w:lang w:val="ro-RO" w:eastAsia="ro-MD"/>
        </w:rPr>
      </w:pPr>
      <w:r w:rsidRPr="002D468A">
        <w:rPr>
          <w:color w:val="000000" w:themeColor="text1"/>
          <w:lang w:val="ro-RO" w:eastAsia="ro-MD"/>
        </w:rPr>
        <w:t>2) o pondere de risc de 35%, dacă expunerii cu rang prioritar negarantate față de întreprinderea care furnizează asigurarea de viață i se atribuie o pondere de risc de 50%;</w:t>
      </w:r>
    </w:p>
    <w:p w14:paraId="3C9824DD" w14:textId="7F94AF8C" w:rsidR="000D2636" w:rsidRPr="002D468A" w:rsidRDefault="000D2636" w:rsidP="000D2636">
      <w:pPr>
        <w:ind w:firstLine="567"/>
        <w:jc w:val="both"/>
        <w:rPr>
          <w:color w:val="000000" w:themeColor="text1"/>
          <w:lang w:val="ro-RO" w:eastAsia="ro-MD"/>
        </w:rPr>
      </w:pPr>
      <w:r w:rsidRPr="002D468A">
        <w:rPr>
          <w:color w:val="000000" w:themeColor="text1"/>
          <w:lang w:val="ro-RO" w:eastAsia="ro-MD"/>
        </w:rPr>
        <w:t>3) o pondere de risc de 52,5%, dacă expunerii cu rang prioritar negarantate față de întreprinderea care furnizează asigurarea de viață i se atribuie o pondere de risc de 75%;</w:t>
      </w:r>
    </w:p>
    <w:p w14:paraId="33CAF81F" w14:textId="33131EE3" w:rsidR="000D2636" w:rsidRPr="002D468A" w:rsidRDefault="007227CD" w:rsidP="000D2636">
      <w:pPr>
        <w:ind w:firstLine="567"/>
        <w:jc w:val="both"/>
        <w:rPr>
          <w:color w:val="000000" w:themeColor="text1"/>
          <w:lang w:val="ro-RO" w:eastAsia="ro-MD"/>
        </w:rPr>
      </w:pPr>
      <w:r w:rsidRPr="002D468A">
        <w:rPr>
          <w:color w:val="000000" w:themeColor="text1"/>
          <w:lang w:val="ro-RO" w:eastAsia="ro-MD"/>
        </w:rPr>
        <w:t>4</w:t>
      </w:r>
      <w:r w:rsidR="000D2636" w:rsidRPr="002D468A">
        <w:rPr>
          <w:color w:val="000000" w:themeColor="text1"/>
          <w:lang w:val="ro-RO" w:eastAsia="ro-MD"/>
        </w:rPr>
        <w:t>) o pondere de risc de 70%, dacă expunerii cu rang prioritar negarantate față de întreprinderea care furnizează asigurarea de viață i se atribuie o pondere de risc de 100%;</w:t>
      </w:r>
    </w:p>
    <w:p w14:paraId="5EDC7578" w14:textId="67A153A7" w:rsidR="000D2636" w:rsidRPr="002D468A" w:rsidRDefault="007227CD" w:rsidP="007227CD">
      <w:pPr>
        <w:tabs>
          <w:tab w:val="left" w:pos="567"/>
        </w:tabs>
        <w:ind w:firstLine="567"/>
        <w:jc w:val="both"/>
        <w:rPr>
          <w:color w:val="000000" w:themeColor="text1"/>
          <w:lang w:val="ro-RO"/>
        </w:rPr>
      </w:pPr>
      <w:r w:rsidRPr="002D468A">
        <w:rPr>
          <w:color w:val="000000" w:themeColor="text1"/>
          <w:lang w:val="ro-RO" w:eastAsia="ro-MD"/>
        </w:rPr>
        <w:t>5</w:t>
      </w:r>
      <w:r w:rsidR="000D2636" w:rsidRPr="002D468A">
        <w:rPr>
          <w:color w:val="000000" w:themeColor="text1"/>
          <w:lang w:val="ro-RO" w:eastAsia="ro-MD"/>
        </w:rPr>
        <w:t>) o pondere de risc de 150%, dacă expunerii cu rang prioritar negarantate față de întreprinderea care furnizează asigurarea de viață i se atribuie o pondere de risc de 150%.</w:t>
      </w:r>
      <w:r w:rsidRPr="002D468A">
        <w:rPr>
          <w:color w:val="000000" w:themeColor="text1"/>
          <w:sz w:val="18"/>
          <w:szCs w:val="18"/>
          <w:lang w:val="ro-RO" w:eastAsia="ro-MD"/>
        </w:rPr>
        <w:t>”.</w:t>
      </w:r>
    </w:p>
    <w:p w14:paraId="4FD520F2" w14:textId="77777777" w:rsidR="00A70C68" w:rsidRPr="002D468A" w:rsidRDefault="000B2CBE" w:rsidP="00F7502D">
      <w:pPr>
        <w:pStyle w:val="ListParagraph"/>
        <w:numPr>
          <w:ilvl w:val="1"/>
          <w:numId w:val="27"/>
        </w:numPr>
        <w:tabs>
          <w:tab w:val="left" w:pos="567"/>
        </w:tabs>
        <w:spacing w:before="80"/>
        <w:ind w:left="0" w:firstLine="567"/>
        <w:contextualSpacing w:val="0"/>
        <w:jc w:val="both"/>
        <w:rPr>
          <w:color w:val="000000" w:themeColor="text1"/>
          <w:lang w:val="ro-RO"/>
        </w:rPr>
      </w:pPr>
      <w:r w:rsidRPr="002D468A">
        <w:rPr>
          <w:color w:val="000000" w:themeColor="text1"/>
          <w:lang w:val="ro-RO" w:eastAsia="ro-MD"/>
        </w:rPr>
        <w:t>Capitolul IX</w:t>
      </w:r>
      <w:r w:rsidR="00A70C68" w:rsidRPr="002D468A">
        <w:rPr>
          <w:color w:val="000000" w:themeColor="text1"/>
          <w:lang w:val="ro-RO" w:eastAsia="ro-MD"/>
        </w:rPr>
        <w:t>:</w:t>
      </w:r>
    </w:p>
    <w:p w14:paraId="1BDD497D" w14:textId="77777777" w:rsidR="00A70C68" w:rsidRPr="002D468A" w:rsidRDefault="000B2CBE" w:rsidP="00A70C68">
      <w:pPr>
        <w:pStyle w:val="ListParagraph"/>
        <w:numPr>
          <w:ilvl w:val="2"/>
          <w:numId w:val="27"/>
        </w:numPr>
        <w:ind w:left="0" w:firstLine="567"/>
        <w:rPr>
          <w:color w:val="000000" w:themeColor="text1"/>
          <w:lang w:val="ro-RO" w:eastAsia="ro-MD"/>
        </w:rPr>
      </w:pPr>
      <w:r w:rsidRPr="002D468A">
        <w:rPr>
          <w:color w:val="000000" w:themeColor="text1"/>
          <w:lang w:val="ro-RO" w:eastAsia="ro-MD"/>
        </w:rPr>
        <w:t>se completează cu secțiun</w:t>
      </w:r>
      <w:r w:rsidR="00A70C68" w:rsidRPr="002D468A">
        <w:rPr>
          <w:color w:val="000000" w:themeColor="text1"/>
          <w:lang w:val="ro-RO" w:eastAsia="ro-MD"/>
        </w:rPr>
        <w:t>ea</w:t>
      </w:r>
      <w:r w:rsidRPr="002D468A">
        <w:rPr>
          <w:color w:val="000000" w:themeColor="text1"/>
          <w:lang w:val="ro-RO" w:eastAsia="ro-MD"/>
        </w:rPr>
        <w:t xml:space="preserve"> 1</w:t>
      </w:r>
      <w:r w:rsidRPr="002D468A">
        <w:rPr>
          <w:color w:val="000000" w:themeColor="text1"/>
          <w:vertAlign w:val="superscript"/>
          <w:lang w:val="ro-RO" w:eastAsia="ro-MD"/>
        </w:rPr>
        <w:t>1</w:t>
      </w:r>
      <w:r w:rsidRPr="002D468A">
        <w:rPr>
          <w:color w:val="000000" w:themeColor="text1"/>
          <w:lang w:val="ro-RO" w:eastAsia="ro-MD"/>
        </w:rPr>
        <w:t xml:space="preserve"> cu următorul cuprins:</w:t>
      </w:r>
      <w:r w:rsidR="00A70C68" w:rsidRPr="002D468A">
        <w:rPr>
          <w:color w:val="000000" w:themeColor="text1"/>
          <w:lang w:val="ro-RO"/>
        </w:rPr>
        <w:t xml:space="preserve"> </w:t>
      </w:r>
    </w:p>
    <w:p w14:paraId="3E5AFADC" w14:textId="72896464" w:rsidR="00A70C68" w:rsidRPr="002D468A" w:rsidRDefault="00A70C68" w:rsidP="00A70C68">
      <w:pPr>
        <w:jc w:val="center"/>
        <w:rPr>
          <w:color w:val="000000" w:themeColor="text1"/>
          <w:lang w:val="ro-RO" w:eastAsia="ro-MD"/>
        </w:rPr>
      </w:pPr>
      <w:r w:rsidRPr="002D468A">
        <w:rPr>
          <w:color w:val="000000" w:themeColor="text1"/>
          <w:lang w:val="ro-RO"/>
        </w:rPr>
        <w:t>„</w:t>
      </w:r>
      <w:r w:rsidRPr="002D468A">
        <w:rPr>
          <w:b/>
          <w:bCs/>
          <w:i/>
          <w:iCs/>
          <w:color w:val="000000" w:themeColor="text1"/>
          <w:lang w:val="ro-RO" w:eastAsia="ro-MD"/>
        </w:rPr>
        <w:t>Secțiunea 1</w:t>
      </w:r>
      <w:r w:rsidRPr="002D468A">
        <w:rPr>
          <w:b/>
          <w:bCs/>
          <w:i/>
          <w:iCs/>
          <w:color w:val="000000" w:themeColor="text1"/>
          <w:vertAlign w:val="superscript"/>
          <w:lang w:val="ro-RO" w:eastAsia="ro-MD"/>
        </w:rPr>
        <w:t>1</w:t>
      </w:r>
    </w:p>
    <w:p w14:paraId="4356A94E" w14:textId="77777777" w:rsidR="00A70C68" w:rsidRPr="002D468A" w:rsidRDefault="00A70C68" w:rsidP="00A70C68">
      <w:pPr>
        <w:jc w:val="center"/>
        <w:rPr>
          <w:b/>
          <w:bCs/>
          <w:i/>
          <w:iCs/>
          <w:color w:val="000000" w:themeColor="text1"/>
          <w:lang w:val="ro-RO" w:eastAsia="ro-MD"/>
        </w:rPr>
      </w:pPr>
      <w:r w:rsidRPr="002D468A">
        <w:rPr>
          <w:b/>
          <w:bCs/>
          <w:i/>
          <w:iCs/>
          <w:color w:val="000000" w:themeColor="text1"/>
          <w:lang w:val="ro-RO" w:eastAsia="ro-MD"/>
        </w:rPr>
        <w:t>Calculul valorilor ponderate la risc ale expunerilor și al valorilor pierderilor așteptate în cazul protecției parțiale și al segmentării pe tranșe</w:t>
      </w:r>
    </w:p>
    <w:p w14:paraId="0999B3E4" w14:textId="77777777" w:rsidR="00A70C68" w:rsidRPr="002D468A" w:rsidRDefault="00A70C68" w:rsidP="00A70C68">
      <w:pPr>
        <w:jc w:val="both"/>
        <w:rPr>
          <w:color w:val="000000" w:themeColor="text1"/>
          <w:lang w:val="ro-RO" w:eastAsia="ro-MD"/>
        </w:rPr>
      </w:pPr>
      <w:r w:rsidRPr="002D468A">
        <w:rPr>
          <w:b/>
          <w:bCs/>
          <w:color w:val="000000" w:themeColor="text1"/>
          <w:lang w:val="ro-RO" w:eastAsia="ro-MD"/>
        </w:rPr>
        <w:t>113</w:t>
      </w:r>
      <w:r w:rsidRPr="002D468A">
        <w:rPr>
          <w:b/>
          <w:bCs/>
          <w:color w:val="000000" w:themeColor="text1"/>
          <w:vertAlign w:val="superscript"/>
          <w:lang w:val="ro-RO" w:eastAsia="ro-MD"/>
        </w:rPr>
        <w:t>1</w:t>
      </w:r>
      <w:r w:rsidRPr="002D468A">
        <w:rPr>
          <w:b/>
          <w:bCs/>
          <w:color w:val="000000" w:themeColor="text1"/>
          <w:lang w:val="ro-RO" w:eastAsia="ro-MD"/>
        </w:rPr>
        <w:t>.</w:t>
      </w:r>
      <w:r w:rsidRPr="002D468A">
        <w:rPr>
          <w:color w:val="000000" w:themeColor="text1"/>
          <w:lang w:val="ro-RO" w:eastAsia="ro-MD"/>
        </w:rPr>
        <w:t xml:space="preserve"> Dacă o bancă transferă în una sau mai multe tranșe o parte din riscul aferent unui credit, se aplică regulile stabilite în Regulamentul nr. 221/2025 privind tratamentul prudențial al securitizărilor. </w:t>
      </w:r>
    </w:p>
    <w:p w14:paraId="6896F57C" w14:textId="664501F1" w:rsidR="00A70C68" w:rsidRPr="002D468A" w:rsidRDefault="00A70C68" w:rsidP="00A70C68">
      <w:pPr>
        <w:jc w:val="both"/>
        <w:rPr>
          <w:color w:val="000000" w:themeColor="text1"/>
          <w:sz w:val="18"/>
          <w:szCs w:val="18"/>
          <w:lang w:val="ro-RO" w:eastAsia="ro-MD"/>
        </w:rPr>
      </w:pPr>
      <w:r w:rsidRPr="002D468A">
        <w:rPr>
          <w:b/>
          <w:bCs/>
          <w:color w:val="000000" w:themeColor="text1"/>
          <w:lang w:val="ro-RO" w:eastAsia="ro-MD"/>
        </w:rPr>
        <w:t>113</w:t>
      </w:r>
      <w:r w:rsidRPr="002D468A">
        <w:rPr>
          <w:b/>
          <w:bCs/>
          <w:color w:val="000000" w:themeColor="text1"/>
          <w:vertAlign w:val="superscript"/>
          <w:lang w:val="ro-RO" w:eastAsia="ro-MD"/>
        </w:rPr>
        <w:t>2</w:t>
      </w:r>
      <w:r w:rsidRPr="002D468A">
        <w:rPr>
          <w:b/>
          <w:bCs/>
          <w:color w:val="000000" w:themeColor="text1"/>
          <w:lang w:val="ro-RO" w:eastAsia="ro-MD"/>
        </w:rPr>
        <w:t>.</w:t>
      </w:r>
      <w:r w:rsidRPr="002D468A">
        <w:rPr>
          <w:color w:val="000000" w:themeColor="text1"/>
          <w:lang w:val="ro-RO" w:eastAsia="ro-MD"/>
        </w:rPr>
        <w:t xml:space="preserve"> Băncile pot considera că pragurile de semnificație pentru plăți, sub care nu se fac plăți în cazul producerii pierderilor, sunt echivalente cu poziții păstrate care suportă primele pierderea și dau naștere unui transfer de risc segmentat în tranșe.”.</w:t>
      </w:r>
    </w:p>
    <w:p w14:paraId="2B5B74B7" w14:textId="6D4DB29E" w:rsidR="000D2636" w:rsidRPr="002D468A" w:rsidRDefault="00A70C68" w:rsidP="00A70C68">
      <w:pPr>
        <w:pStyle w:val="ListParagraph"/>
        <w:numPr>
          <w:ilvl w:val="2"/>
          <w:numId w:val="27"/>
        </w:numPr>
        <w:tabs>
          <w:tab w:val="left" w:pos="567"/>
        </w:tabs>
        <w:spacing w:before="80"/>
        <w:contextualSpacing w:val="0"/>
        <w:jc w:val="both"/>
        <w:rPr>
          <w:color w:val="000000" w:themeColor="text1"/>
          <w:lang w:val="ro-RO"/>
        </w:rPr>
      </w:pPr>
      <w:r w:rsidRPr="002D468A">
        <w:rPr>
          <w:color w:val="000000" w:themeColor="text1"/>
          <w:lang w:val="ro-RO"/>
        </w:rPr>
        <w:t>denumirea secțiunii a 2-a va avea următorul cuprins:</w:t>
      </w:r>
    </w:p>
    <w:p w14:paraId="444B348D" w14:textId="77777777" w:rsidR="00A70C68" w:rsidRPr="002D468A" w:rsidRDefault="00A70C68" w:rsidP="00A70C68">
      <w:pPr>
        <w:jc w:val="center"/>
        <w:rPr>
          <w:color w:val="000000" w:themeColor="text1"/>
          <w:lang w:val="ro-RO" w:eastAsia="ro-MD"/>
        </w:rPr>
      </w:pPr>
      <w:r w:rsidRPr="002D468A">
        <w:rPr>
          <w:color w:val="000000" w:themeColor="text1"/>
          <w:lang w:val="ro-RO"/>
        </w:rPr>
        <w:t>„</w:t>
      </w:r>
      <w:r w:rsidRPr="002D468A">
        <w:rPr>
          <w:b/>
          <w:bCs/>
          <w:i/>
          <w:iCs/>
          <w:color w:val="000000" w:themeColor="text1"/>
          <w:lang w:val="ro-RO" w:eastAsia="ro-MD"/>
        </w:rPr>
        <w:t>Secțiunea a 2-a</w:t>
      </w:r>
    </w:p>
    <w:p w14:paraId="64842CCB" w14:textId="5EAF141A" w:rsidR="00A70C68" w:rsidRPr="002D468A" w:rsidRDefault="00A70C68" w:rsidP="00A70C68">
      <w:pPr>
        <w:tabs>
          <w:tab w:val="left" w:pos="567"/>
        </w:tabs>
        <w:jc w:val="both"/>
        <w:rPr>
          <w:i/>
          <w:iCs/>
          <w:color w:val="000000" w:themeColor="text1"/>
          <w:lang w:val="ro-RO"/>
        </w:rPr>
      </w:pPr>
      <w:r w:rsidRPr="002D468A">
        <w:rPr>
          <w:b/>
          <w:bCs/>
          <w:i/>
          <w:iCs/>
          <w:color w:val="000000" w:themeColor="text1"/>
          <w:lang w:val="ro-RO"/>
        </w:rPr>
        <w:t>Calculul valorilor ponderate la risc ale expunerilor în conformitate cu metoda substituției atunci când expunerea garantată este tratată conform abordării standardizate</w:t>
      </w:r>
      <w:r w:rsidRPr="002D468A">
        <w:rPr>
          <w:i/>
          <w:iCs/>
          <w:color w:val="000000" w:themeColor="text1"/>
          <w:lang w:val="ro-RO"/>
        </w:rPr>
        <w:t>”;</w:t>
      </w:r>
    </w:p>
    <w:p w14:paraId="30F55281" w14:textId="0838673B" w:rsidR="00A70C68" w:rsidRPr="002D468A" w:rsidRDefault="00A70C68" w:rsidP="00FB709D">
      <w:pPr>
        <w:pStyle w:val="ListParagraph"/>
        <w:numPr>
          <w:ilvl w:val="2"/>
          <w:numId w:val="27"/>
        </w:numPr>
        <w:tabs>
          <w:tab w:val="left" w:pos="567"/>
        </w:tabs>
        <w:spacing w:before="80"/>
        <w:ind w:left="0" w:firstLine="567"/>
        <w:contextualSpacing w:val="0"/>
        <w:jc w:val="both"/>
        <w:rPr>
          <w:color w:val="000000" w:themeColor="text1"/>
          <w:lang w:val="ro-RO"/>
        </w:rPr>
      </w:pPr>
      <w:r w:rsidRPr="002D468A">
        <w:rPr>
          <w:color w:val="000000" w:themeColor="text1"/>
          <w:lang w:val="ro-RO"/>
        </w:rPr>
        <w:t>la punctul 114</w:t>
      </w:r>
      <w:r w:rsidR="0027027C" w:rsidRPr="002D468A">
        <w:rPr>
          <w:color w:val="000000" w:themeColor="text1"/>
          <w:lang w:val="ro-RO"/>
        </w:rPr>
        <w:t xml:space="preserve"> după cuvintele „</w:t>
      </w:r>
      <w:r w:rsidR="0027027C" w:rsidRPr="002D468A">
        <w:rPr>
          <w:color w:val="000000" w:themeColor="text1"/>
          <w:lang w:val="ro-RO" w:eastAsia="ro-MD"/>
        </w:rPr>
        <w:t>valorile ponderate la risc ale expunerilor” se completează cu textul „cu protecție nefinanțată a creditului în cazul cărora băncile respective aplică abordarea standardizată, indiferent de tratamentul expunerilor directe comparabile față de furnizorul de protecție,”;</w:t>
      </w:r>
    </w:p>
    <w:p w14:paraId="03A7259F" w14:textId="09237D2F" w:rsidR="00A70C68" w:rsidRPr="002D468A" w:rsidRDefault="00417D44" w:rsidP="00FB709D">
      <w:pPr>
        <w:pStyle w:val="ListParagraph"/>
        <w:numPr>
          <w:ilvl w:val="2"/>
          <w:numId w:val="27"/>
        </w:numPr>
        <w:tabs>
          <w:tab w:val="left" w:pos="567"/>
        </w:tabs>
        <w:spacing w:before="80"/>
        <w:ind w:left="0" w:firstLine="567"/>
        <w:contextualSpacing w:val="0"/>
        <w:jc w:val="both"/>
        <w:rPr>
          <w:color w:val="000000" w:themeColor="text1"/>
          <w:lang w:val="ro-RO"/>
        </w:rPr>
      </w:pPr>
      <w:r w:rsidRPr="002D468A">
        <w:rPr>
          <w:color w:val="000000" w:themeColor="text1"/>
          <w:lang w:val="ro-RO"/>
        </w:rPr>
        <w:t xml:space="preserve">la punctul 116 după </w:t>
      </w:r>
      <w:r w:rsidR="006E771B" w:rsidRPr="002D468A">
        <w:rPr>
          <w:color w:val="000000" w:themeColor="text1"/>
          <w:lang w:val="ro-RO"/>
        </w:rPr>
        <w:t xml:space="preserve">textul </w:t>
      </w:r>
      <w:r w:rsidRPr="002D468A">
        <w:rPr>
          <w:color w:val="000000" w:themeColor="text1"/>
          <w:lang w:val="ro-RO"/>
        </w:rPr>
        <w:t>„</w:t>
      </w:r>
      <w:r w:rsidRPr="002D468A">
        <w:rPr>
          <w:color w:val="000000" w:themeColor="text1"/>
          <w:lang w:val="ro-RO" w:eastAsia="ro-MD"/>
        </w:rPr>
        <w:t>banca centrală,” se completează cu textul „ca și cum expunerile respective ar fi expuneri directe față de administrația centrală sau de banca centrală, cu condiția ca astfel de expuneri directe să îndeplinească condițiile prevăzute la punctele 31-33 din regulamentul menționat și”;</w:t>
      </w:r>
    </w:p>
    <w:p w14:paraId="5ACCD37C" w14:textId="0FA9F96D" w:rsidR="00FB709D" w:rsidRPr="002D468A" w:rsidRDefault="00FB709D" w:rsidP="00FB709D">
      <w:pPr>
        <w:pStyle w:val="ListParagraph"/>
        <w:numPr>
          <w:ilvl w:val="2"/>
          <w:numId w:val="27"/>
        </w:numPr>
        <w:ind w:left="0" w:firstLine="567"/>
        <w:rPr>
          <w:color w:val="000000" w:themeColor="text1"/>
          <w:lang w:val="ro-RO"/>
        </w:rPr>
      </w:pPr>
      <w:r w:rsidRPr="002D468A">
        <w:rPr>
          <w:color w:val="000000" w:themeColor="text1"/>
          <w:lang w:val="ro-RO"/>
        </w:rPr>
        <w:t xml:space="preserve">se completează cu secțiunile </w:t>
      </w:r>
      <w:r w:rsidR="0052750B" w:rsidRPr="002D468A">
        <w:rPr>
          <w:color w:val="000000" w:themeColor="text1"/>
          <w:lang w:val="ro-RO"/>
        </w:rPr>
        <w:t>2</w:t>
      </w:r>
      <w:r w:rsidRPr="002D468A">
        <w:rPr>
          <w:color w:val="000000" w:themeColor="text1"/>
          <w:vertAlign w:val="superscript"/>
          <w:lang w:val="ro-RO"/>
        </w:rPr>
        <w:t>1</w:t>
      </w:r>
      <w:r w:rsidR="0052750B" w:rsidRPr="002D468A">
        <w:rPr>
          <w:color w:val="000000" w:themeColor="text1"/>
          <w:lang w:val="ro-RO"/>
        </w:rPr>
        <w:t>-2</w:t>
      </w:r>
      <w:r w:rsidR="0052750B" w:rsidRPr="002D468A">
        <w:rPr>
          <w:color w:val="000000" w:themeColor="text1"/>
          <w:vertAlign w:val="superscript"/>
          <w:lang w:val="ro-RO"/>
        </w:rPr>
        <w:t>3</w:t>
      </w:r>
      <w:r w:rsidRPr="002D468A">
        <w:rPr>
          <w:color w:val="000000" w:themeColor="text1"/>
          <w:lang w:val="ro-RO"/>
        </w:rPr>
        <w:t xml:space="preserve"> cu următorul cuprins: </w:t>
      </w:r>
    </w:p>
    <w:p w14:paraId="396B84B6" w14:textId="77777777" w:rsidR="009A79F2" w:rsidRPr="002D468A" w:rsidRDefault="009A79F2" w:rsidP="009A79F2">
      <w:pPr>
        <w:jc w:val="center"/>
        <w:rPr>
          <w:color w:val="000000" w:themeColor="text1"/>
          <w:lang w:val="ro-RO" w:eastAsia="ro-MD"/>
        </w:rPr>
      </w:pPr>
      <w:r w:rsidRPr="002D468A">
        <w:rPr>
          <w:color w:val="000000" w:themeColor="text1"/>
          <w:lang w:val="ro-RO"/>
        </w:rPr>
        <w:t>„</w:t>
      </w:r>
      <w:r w:rsidRPr="002D468A">
        <w:rPr>
          <w:b/>
          <w:bCs/>
          <w:i/>
          <w:iCs/>
          <w:color w:val="000000" w:themeColor="text1"/>
          <w:lang w:val="ro-RO" w:eastAsia="ro-MD"/>
        </w:rPr>
        <w:t>Secțiunea a 2</w:t>
      </w:r>
      <w:r w:rsidRPr="002D468A">
        <w:rPr>
          <w:b/>
          <w:bCs/>
          <w:i/>
          <w:iCs/>
          <w:color w:val="000000" w:themeColor="text1"/>
          <w:vertAlign w:val="superscript"/>
          <w:lang w:val="ro-RO" w:eastAsia="ro-MD"/>
        </w:rPr>
        <w:t>1</w:t>
      </w:r>
      <w:r w:rsidRPr="002D468A">
        <w:rPr>
          <w:b/>
          <w:bCs/>
          <w:i/>
          <w:iCs/>
          <w:color w:val="000000" w:themeColor="text1"/>
          <w:lang w:val="ro-RO" w:eastAsia="ro-MD"/>
        </w:rPr>
        <w:t>-a</w:t>
      </w:r>
    </w:p>
    <w:p w14:paraId="6CCF10A8" w14:textId="77777777" w:rsidR="009A79F2" w:rsidRPr="002D468A" w:rsidRDefault="009A79F2" w:rsidP="009A79F2">
      <w:pPr>
        <w:ind w:firstLine="567"/>
        <w:jc w:val="center"/>
        <w:rPr>
          <w:b/>
          <w:bCs/>
          <w:i/>
          <w:iCs/>
          <w:color w:val="000000" w:themeColor="text1"/>
          <w:lang w:val="ro-RO" w:eastAsia="ro-MD"/>
        </w:rPr>
      </w:pPr>
      <w:r w:rsidRPr="002D468A">
        <w:rPr>
          <w:b/>
          <w:bCs/>
          <w:i/>
          <w:iCs/>
          <w:color w:val="000000" w:themeColor="text1"/>
          <w:lang w:val="ro-RO" w:eastAsia="ro-MD"/>
        </w:rPr>
        <w:t xml:space="preserve">Calcularea cuantumurilor ponderate la risc ale expunerilor și a cuantumurilor pierderilor așteptate în conformitate cu metoda substituției atunci când expunerea garantată este tratată </w:t>
      </w:r>
      <w:r w:rsidRPr="002D468A">
        <w:rPr>
          <w:b/>
          <w:bCs/>
          <w:i/>
          <w:iCs/>
          <w:color w:val="000000" w:themeColor="text1"/>
          <w:lang w:val="ro-RO" w:eastAsia="ro-MD"/>
        </w:rPr>
        <w:lastRenderedPageBreak/>
        <w:t>conform abordării IRB, iar o expunere directă comparabilă față de furnizorul de protecție este tratată conform abordării standardizate</w:t>
      </w:r>
    </w:p>
    <w:p w14:paraId="5ED7E632" w14:textId="77777777" w:rsidR="009A79F2" w:rsidRPr="002D468A" w:rsidRDefault="009A79F2" w:rsidP="00DA7A66">
      <w:pPr>
        <w:jc w:val="both"/>
        <w:rPr>
          <w:color w:val="000000" w:themeColor="text1"/>
          <w:lang w:val="ro-RO" w:eastAsia="ro-MD"/>
        </w:rPr>
      </w:pPr>
      <w:r w:rsidRPr="002D468A">
        <w:rPr>
          <w:b/>
          <w:bCs/>
          <w:color w:val="000000" w:themeColor="text1"/>
          <w:lang w:val="ro-RO" w:eastAsia="ro-MD"/>
        </w:rPr>
        <w:t>116</w:t>
      </w:r>
      <w:r w:rsidRPr="002D468A">
        <w:rPr>
          <w:b/>
          <w:bCs/>
          <w:color w:val="000000" w:themeColor="text1"/>
          <w:vertAlign w:val="superscript"/>
          <w:lang w:val="ro-RO" w:eastAsia="ro-MD"/>
        </w:rPr>
        <w:t>1</w:t>
      </w:r>
      <w:r w:rsidRPr="002D468A">
        <w:rPr>
          <w:b/>
          <w:bCs/>
          <w:color w:val="000000" w:themeColor="text1"/>
          <w:lang w:val="ro-RO" w:eastAsia="ro-MD"/>
        </w:rPr>
        <w:t>.</w:t>
      </w:r>
      <w:r w:rsidRPr="002D468A">
        <w:rPr>
          <w:color w:val="000000" w:themeColor="text1"/>
          <w:lang w:val="ro-RO" w:eastAsia="ro-MD"/>
        </w:rPr>
        <w:t xml:space="preserve"> În cazul expunerilor cu protecție nefinanțată a creditului pentru care o bancă aplică abordarea IRB și în cazul în care expunerile directe comparabile față de furnizorul de protecție sunt tratate conform abordării standardizate, băncile calculează valorile ponderate la risc ale expunerilor în conformitate cu următoarea formulă:</w:t>
      </w:r>
    </w:p>
    <w:p w14:paraId="1BA6FE35" w14:textId="77777777" w:rsidR="009A79F2" w:rsidRPr="002D468A" w:rsidRDefault="009A79F2" w:rsidP="009A79F2">
      <w:pPr>
        <w:ind w:firstLine="567"/>
        <w:jc w:val="center"/>
        <w:rPr>
          <w:color w:val="000000" w:themeColor="text1"/>
          <w:lang w:val="ro-RO" w:eastAsia="ro-MD"/>
        </w:rPr>
      </w:pPr>
      <w:proofErr w:type="spellStart"/>
      <w:r w:rsidRPr="002D468A">
        <w:rPr>
          <w:color w:val="000000" w:themeColor="text1"/>
          <w:lang w:val="ro-RO" w:eastAsia="ro-MD"/>
        </w:rPr>
        <w:t>max</w:t>
      </w:r>
      <w:proofErr w:type="spellEnd"/>
      <w:r w:rsidRPr="002D468A">
        <w:rPr>
          <w:color w:val="000000" w:themeColor="text1"/>
          <w:lang w:val="ro-RO" w:eastAsia="ro-MD"/>
        </w:rPr>
        <w:t>{0, E – G</w:t>
      </w:r>
      <w:r w:rsidRPr="002D468A">
        <w:rPr>
          <w:color w:val="000000" w:themeColor="text1"/>
          <w:vertAlign w:val="subscript"/>
          <w:lang w:val="ro-RO" w:eastAsia="ro-MD"/>
        </w:rPr>
        <w:t>A</w:t>
      </w:r>
      <w:r w:rsidRPr="002D468A">
        <w:rPr>
          <w:color w:val="000000" w:themeColor="text1"/>
          <w:lang w:val="ro-RO" w:eastAsia="ro-MD"/>
        </w:rPr>
        <w:t>} · r + G</w:t>
      </w:r>
      <w:r w:rsidRPr="002D468A">
        <w:rPr>
          <w:color w:val="000000" w:themeColor="text1"/>
          <w:vertAlign w:val="subscript"/>
          <w:lang w:val="ro-RO" w:eastAsia="ro-MD"/>
        </w:rPr>
        <w:t>A</w:t>
      </w:r>
      <w:r w:rsidRPr="002D468A">
        <w:rPr>
          <w:color w:val="000000" w:themeColor="text1"/>
          <w:lang w:val="ro-RO" w:eastAsia="ro-MD"/>
        </w:rPr>
        <w:t xml:space="preserve"> · g</w:t>
      </w:r>
    </w:p>
    <w:p w14:paraId="7072FC43" w14:textId="77777777" w:rsidR="009A79F2" w:rsidRPr="002D468A" w:rsidRDefault="009A79F2" w:rsidP="009A79F2">
      <w:pPr>
        <w:ind w:firstLine="567"/>
        <w:jc w:val="both"/>
        <w:rPr>
          <w:color w:val="000000" w:themeColor="text1"/>
          <w:lang w:val="ro-RO" w:eastAsia="ro-MD"/>
        </w:rPr>
      </w:pPr>
      <w:r w:rsidRPr="002D468A">
        <w:rPr>
          <w:color w:val="000000" w:themeColor="text1"/>
          <w:lang w:val="ro-RO" w:eastAsia="ro-MD"/>
        </w:rPr>
        <w:t>unde:</w:t>
      </w:r>
    </w:p>
    <w:p w14:paraId="06447B59" w14:textId="2FAE9DC1" w:rsidR="009A79F2" w:rsidRPr="002D468A" w:rsidRDefault="009A79F2" w:rsidP="009A79F2">
      <w:pPr>
        <w:ind w:firstLine="567"/>
        <w:jc w:val="both"/>
        <w:rPr>
          <w:color w:val="000000" w:themeColor="text1"/>
          <w:lang w:val="ro-RO" w:eastAsia="ro-MD"/>
        </w:rPr>
      </w:pPr>
      <w:r w:rsidRPr="002D468A">
        <w:rPr>
          <w:color w:val="000000" w:themeColor="text1"/>
          <w:lang w:val="ro-RO" w:eastAsia="ro-MD"/>
        </w:rPr>
        <w:t xml:space="preserve">E = valoarea expunerii determinată în conformitate cu actul normativ al Băncii Naționale a Moldovei aferent tratamentului riscului de credit potrivit abordării bazate pe modele interne de rating; în acest scop, băncile calculează valoarea expunerii pentru elementele </w:t>
      </w:r>
      <w:proofErr w:type="spellStart"/>
      <w:r w:rsidRPr="002D468A">
        <w:rPr>
          <w:color w:val="000000" w:themeColor="text1"/>
          <w:lang w:val="ro-RO" w:eastAsia="ro-MD"/>
        </w:rPr>
        <w:t>extrabilanțiere</w:t>
      </w:r>
      <w:proofErr w:type="spellEnd"/>
      <w:r w:rsidRPr="002D468A">
        <w:rPr>
          <w:color w:val="000000" w:themeColor="text1"/>
          <w:lang w:val="ro-RO" w:eastAsia="ro-MD"/>
        </w:rPr>
        <w:t>, altele decât instrumentele financiare derivate tratate conform abordării IRB, utilizând un CCF de 100% în locul CCF pe baza abordării standardizate sau al CCF pe baza IRB prevăzuți în actul normativ al Băncii Naționale a Moldovei aferent tratamentului riscului de credit potrivit abordării bazate pe modele interne de rating;</w:t>
      </w:r>
    </w:p>
    <w:p w14:paraId="0C3CB31E" w14:textId="77777777" w:rsidR="009A79F2" w:rsidRPr="002D468A" w:rsidRDefault="009A79F2" w:rsidP="009A79F2">
      <w:pPr>
        <w:ind w:firstLine="567"/>
        <w:jc w:val="both"/>
        <w:rPr>
          <w:color w:val="000000" w:themeColor="text1"/>
          <w:lang w:val="ro-RO" w:eastAsia="ro-MD"/>
        </w:rPr>
      </w:pPr>
      <w:r w:rsidRPr="002D468A">
        <w:rPr>
          <w:color w:val="000000" w:themeColor="text1"/>
          <w:lang w:val="ro-RO" w:eastAsia="ro-MD"/>
        </w:rPr>
        <w:t>G</w:t>
      </w:r>
      <w:r w:rsidRPr="002D468A">
        <w:rPr>
          <w:color w:val="000000" w:themeColor="text1"/>
          <w:vertAlign w:val="subscript"/>
          <w:lang w:val="ro-RO" w:eastAsia="ro-MD"/>
        </w:rPr>
        <w:t>A</w:t>
      </w:r>
      <w:r w:rsidRPr="002D468A">
        <w:rPr>
          <w:color w:val="000000" w:themeColor="text1"/>
          <w:lang w:val="ro-RO" w:eastAsia="ro-MD"/>
        </w:rPr>
        <w:t xml:space="preserve"> = cuantumul protecției creditului ajustat în funcție de riscul valutar (G*) calculat în conformitate cu punctul 112 și ajustat suplimentar pentru orice neconcordanță de scadențe, astfel cum se prevede în titlul V;</w:t>
      </w:r>
    </w:p>
    <w:p w14:paraId="0FB038B4" w14:textId="06360ACA" w:rsidR="009A79F2" w:rsidRPr="002D468A" w:rsidRDefault="009A79F2" w:rsidP="009A79F2">
      <w:pPr>
        <w:ind w:firstLine="567"/>
        <w:jc w:val="both"/>
        <w:rPr>
          <w:color w:val="000000" w:themeColor="text1"/>
          <w:lang w:val="ro-RO" w:eastAsia="ro-MD"/>
        </w:rPr>
      </w:pPr>
      <w:r w:rsidRPr="002D468A">
        <w:rPr>
          <w:color w:val="000000" w:themeColor="text1"/>
          <w:lang w:val="ro-RO" w:eastAsia="ro-MD"/>
        </w:rPr>
        <w:t>r = ponderea de risc aferentă expunerilor față de debitor, specificată în actul normativ al Băncii Naționale a Moldovei aferent tratamentului riscului de credit potrivit abordării bazate pe modele interne de rating;</w:t>
      </w:r>
    </w:p>
    <w:p w14:paraId="767C0AB5" w14:textId="781D6BDA" w:rsidR="009A79F2" w:rsidRPr="002D468A" w:rsidRDefault="009A79F2" w:rsidP="009A79F2">
      <w:pPr>
        <w:ind w:firstLine="567"/>
        <w:jc w:val="both"/>
        <w:rPr>
          <w:color w:val="000000" w:themeColor="text1"/>
          <w:lang w:val="ro-RO" w:eastAsia="ro-MD"/>
        </w:rPr>
      </w:pPr>
      <w:r w:rsidRPr="002D468A">
        <w:rPr>
          <w:color w:val="000000" w:themeColor="text1"/>
          <w:lang w:val="ro-RO" w:eastAsia="ro-MD"/>
        </w:rPr>
        <w:t>g = ponderea de risc aplicabilă unei expuneri directe față de furnizorul de protecție, specificată în Regulamentul nr.111/2018.</w:t>
      </w:r>
    </w:p>
    <w:p w14:paraId="7DE288A6" w14:textId="1CF93B6C" w:rsidR="009A79F2" w:rsidRPr="002D468A" w:rsidRDefault="009A79F2" w:rsidP="00D87955">
      <w:pPr>
        <w:jc w:val="both"/>
        <w:rPr>
          <w:color w:val="000000" w:themeColor="text1"/>
          <w:lang w:val="ro-RO" w:eastAsia="ro-MD"/>
        </w:rPr>
      </w:pPr>
      <w:r w:rsidRPr="002D468A">
        <w:rPr>
          <w:b/>
          <w:bCs/>
          <w:color w:val="000000" w:themeColor="text1"/>
          <w:lang w:val="ro-RO" w:eastAsia="ro-MD"/>
        </w:rPr>
        <w:t>116</w:t>
      </w:r>
      <w:r w:rsidRPr="002D468A">
        <w:rPr>
          <w:b/>
          <w:bCs/>
          <w:color w:val="000000" w:themeColor="text1"/>
          <w:vertAlign w:val="superscript"/>
          <w:lang w:val="ro-RO" w:eastAsia="ro-MD"/>
        </w:rPr>
        <w:t>2</w:t>
      </w:r>
      <w:r w:rsidRPr="002D468A">
        <w:rPr>
          <w:b/>
          <w:bCs/>
          <w:color w:val="000000" w:themeColor="text1"/>
          <w:lang w:val="ro-RO" w:eastAsia="ro-MD"/>
        </w:rPr>
        <w:t>.</w:t>
      </w:r>
      <w:r w:rsidRPr="002D468A">
        <w:rPr>
          <w:color w:val="000000" w:themeColor="text1"/>
          <w:lang w:val="ro-RO" w:eastAsia="ro-MD"/>
        </w:rPr>
        <w:t xml:space="preserve"> În cazul în care cuantumul protecției creditului (G</w:t>
      </w:r>
      <w:r w:rsidRPr="002D468A">
        <w:rPr>
          <w:color w:val="000000" w:themeColor="text1"/>
          <w:vertAlign w:val="subscript"/>
          <w:lang w:val="ro-RO" w:eastAsia="ro-MD"/>
        </w:rPr>
        <w:t>A</w:t>
      </w:r>
      <w:r w:rsidRPr="002D468A">
        <w:rPr>
          <w:color w:val="000000" w:themeColor="text1"/>
          <w:lang w:val="ro-RO" w:eastAsia="ro-MD"/>
        </w:rPr>
        <w:t>) este mai mic decât valoarea expunerii (E), băncile pot aplica formula de la punctul 116</w:t>
      </w:r>
      <w:r w:rsidRPr="002D468A">
        <w:rPr>
          <w:color w:val="000000" w:themeColor="text1"/>
          <w:vertAlign w:val="superscript"/>
          <w:lang w:val="ro-RO" w:eastAsia="ro-MD"/>
        </w:rPr>
        <w:t>1</w:t>
      </w:r>
      <w:r w:rsidRPr="002D468A">
        <w:rPr>
          <w:color w:val="000000" w:themeColor="text1"/>
          <w:lang w:val="ro-RO" w:eastAsia="ro-MD"/>
        </w:rPr>
        <w:t xml:space="preserve"> numai dacă părțile protejate și cele neprotejate ale expunerii au același rang.</w:t>
      </w:r>
    </w:p>
    <w:p w14:paraId="76A133C0" w14:textId="5A89EF60" w:rsidR="009A79F2" w:rsidRPr="002D468A" w:rsidRDefault="009A79F2" w:rsidP="00D87955">
      <w:pPr>
        <w:jc w:val="both"/>
        <w:rPr>
          <w:color w:val="000000" w:themeColor="text1"/>
          <w:lang w:val="ro-RO" w:eastAsia="ro-MD"/>
        </w:rPr>
      </w:pPr>
      <w:r w:rsidRPr="002D468A">
        <w:rPr>
          <w:b/>
          <w:bCs/>
          <w:color w:val="000000" w:themeColor="text1"/>
          <w:lang w:val="ro-RO" w:eastAsia="ro-MD"/>
        </w:rPr>
        <w:t>116</w:t>
      </w:r>
      <w:r w:rsidRPr="002D468A">
        <w:rPr>
          <w:b/>
          <w:bCs/>
          <w:color w:val="000000" w:themeColor="text1"/>
          <w:vertAlign w:val="superscript"/>
          <w:lang w:val="ro-RO" w:eastAsia="ro-MD"/>
        </w:rPr>
        <w:t>3</w:t>
      </w:r>
      <w:r w:rsidRPr="002D468A">
        <w:rPr>
          <w:b/>
          <w:bCs/>
          <w:color w:val="000000" w:themeColor="text1"/>
          <w:lang w:val="ro-RO" w:eastAsia="ro-MD"/>
        </w:rPr>
        <w:t>.</w:t>
      </w:r>
      <w:r w:rsidRPr="002D468A">
        <w:rPr>
          <w:color w:val="000000" w:themeColor="text1"/>
          <w:lang w:val="ro-RO" w:eastAsia="ro-MD"/>
        </w:rPr>
        <w:t xml:space="preserve"> Băncile pot extinde tratamentul preferențial prevăzut în Regulamentul nr.111/2018 la expunerile sau la părțile din expuneri garantate de administrația centrală sau de banca centrală, ca și cum expunerile respective ar fi expuneri directe față de administrația centrală sau de banca centrală, cu condiția ca astfel de expuneri directe să îndeplinească condițiile prevăzute la punctele 31-33 din regulamentul menționat.</w:t>
      </w:r>
    </w:p>
    <w:p w14:paraId="214B38E0" w14:textId="101130A7" w:rsidR="009A79F2" w:rsidRPr="002D468A" w:rsidRDefault="009A79F2" w:rsidP="00D87955">
      <w:pPr>
        <w:jc w:val="both"/>
        <w:rPr>
          <w:color w:val="000000" w:themeColor="text1"/>
          <w:lang w:val="ro-RO" w:eastAsia="ro-MD"/>
        </w:rPr>
      </w:pPr>
      <w:r w:rsidRPr="002D468A">
        <w:rPr>
          <w:b/>
          <w:bCs/>
          <w:color w:val="000000" w:themeColor="text1"/>
          <w:lang w:val="ro-RO" w:eastAsia="ro-MD"/>
        </w:rPr>
        <w:t>116</w:t>
      </w:r>
      <w:r w:rsidRPr="002D468A">
        <w:rPr>
          <w:b/>
          <w:bCs/>
          <w:color w:val="000000" w:themeColor="text1"/>
          <w:vertAlign w:val="superscript"/>
          <w:lang w:val="ro-RO" w:eastAsia="ro-MD"/>
        </w:rPr>
        <w:t>4</w:t>
      </w:r>
      <w:r w:rsidRPr="002D468A">
        <w:rPr>
          <w:b/>
          <w:bCs/>
          <w:color w:val="000000" w:themeColor="text1"/>
          <w:lang w:val="ro-RO" w:eastAsia="ro-MD"/>
        </w:rPr>
        <w:t>.</w:t>
      </w:r>
      <w:r w:rsidRPr="002D468A">
        <w:rPr>
          <w:color w:val="000000" w:themeColor="text1"/>
          <w:lang w:val="ro-RO" w:eastAsia="ro-MD"/>
        </w:rPr>
        <w:t xml:space="preserve"> Valoarea pierderii așteptate pentru partea garantată a valorii expunerii este zero.</w:t>
      </w:r>
    </w:p>
    <w:p w14:paraId="5DD1A10C" w14:textId="6EC4945F" w:rsidR="009A79F2" w:rsidRPr="002D468A" w:rsidRDefault="009A79F2" w:rsidP="00A22BC1">
      <w:pPr>
        <w:jc w:val="both"/>
        <w:rPr>
          <w:color w:val="000000" w:themeColor="text1"/>
          <w:lang w:val="ro-RO" w:eastAsia="ro-MD"/>
        </w:rPr>
      </w:pPr>
      <w:r w:rsidRPr="002D468A">
        <w:rPr>
          <w:b/>
          <w:bCs/>
          <w:color w:val="000000" w:themeColor="text1"/>
          <w:lang w:val="ro-RO" w:eastAsia="ro-MD"/>
        </w:rPr>
        <w:t>116</w:t>
      </w:r>
      <w:r w:rsidRPr="002D468A">
        <w:rPr>
          <w:b/>
          <w:bCs/>
          <w:color w:val="000000" w:themeColor="text1"/>
          <w:vertAlign w:val="superscript"/>
          <w:lang w:val="ro-RO" w:eastAsia="ro-MD"/>
        </w:rPr>
        <w:t>5</w:t>
      </w:r>
      <w:r w:rsidRPr="002D468A">
        <w:rPr>
          <w:b/>
          <w:bCs/>
          <w:color w:val="000000" w:themeColor="text1"/>
          <w:lang w:val="ro-RO" w:eastAsia="ro-MD"/>
        </w:rPr>
        <w:t>.</w:t>
      </w:r>
      <w:r w:rsidRPr="002D468A">
        <w:rPr>
          <w:color w:val="000000" w:themeColor="text1"/>
          <w:lang w:val="ro-RO" w:eastAsia="ro-MD"/>
        </w:rPr>
        <w:t xml:space="preserve"> Pentru orice parte negarantată a valorii expunerii (E), băncile utilizează ponderea de risc și pierderea așteptată corespunzătoare expunerii-suport. Pentru calculul prevăzut în actul normativ al Băncii Naționale a Moldovei aferent tratamentului riscului de credit potrivit abordării bazate pe modele interne de rating, băncile atribuie părții negarantate a valorii expunerii orice ajustare generală sau specifică pentru riscul de credit sau orice ajustare de valoare suplimentară în conformitate cu Regulamentul </w:t>
      </w:r>
      <w:r w:rsidR="00EC5486" w:rsidRPr="002D468A">
        <w:rPr>
          <w:color w:val="000000" w:themeColor="text1"/>
          <w:lang w:val="ro-RO" w:eastAsia="ro-MD"/>
        </w:rPr>
        <w:t>cu privire la fondurile proprii ale băncilor și cerințele de capital, aprobat prin Hotărârea Comitetului executiv al Băncii Naționale a Moldovei nr.</w:t>
      </w:r>
      <w:r w:rsidRPr="002D468A">
        <w:rPr>
          <w:color w:val="000000" w:themeColor="text1"/>
          <w:lang w:val="ro-RO" w:eastAsia="ro-MD"/>
        </w:rPr>
        <w:t>109/2018</w:t>
      </w:r>
      <w:r w:rsidR="00A22BC1" w:rsidRPr="002D468A">
        <w:rPr>
          <w:color w:val="000000" w:themeColor="text1"/>
          <w:lang w:val="ro-RO" w:eastAsia="ro-MD"/>
        </w:rPr>
        <w:t xml:space="preserve"> (în continuare – Regulamentul 109/2018)</w:t>
      </w:r>
      <w:r w:rsidRPr="002D468A">
        <w:rPr>
          <w:color w:val="000000" w:themeColor="text1"/>
          <w:lang w:val="ro-RO" w:eastAsia="ro-MD"/>
        </w:rPr>
        <w:t xml:space="preserve"> legată de activitățile din afara portofoliului de tranzacționare ale băncii sau orice altă reducere a fondurilor proprii legată de expunere, alta decât deducerile privind cuantumul aplicabil al acoperirii insuficiente pentru expunerile neperformante efectuate în conformitate cu Regulamentul nr.109/2018.</w:t>
      </w:r>
    </w:p>
    <w:p w14:paraId="2842CFEB" w14:textId="77777777" w:rsidR="009A79F2" w:rsidRPr="002D468A" w:rsidRDefault="009A79F2" w:rsidP="009A79F2">
      <w:pPr>
        <w:jc w:val="center"/>
        <w:rPr>
          <w:color w:val="000000" w:themeColor="text1"/>
          <w:lang w:val="ro-RO" w:eastAsia="ro-MD"/>
        </w:rPr>
      </w:pPr>
      <w:r w:rsidRPr="002D468A">
        <w:rPr>
          <w:b/>
          <w:bCs/>
          <w:i/>
          <w:iCs/>
          <w:color w:val="000000" w:themeColor="text1"/>
          <w:lang w:val="ro-RO" w:eastAsia="ro-MD"/>
        </w:rPr>
        <w:t>Secțiunea a 2</w:t>
      </w:r>
      <w:r w:rsidRPr="002D468A">
        <w:rPr>
          <w:b/>
          <w:bCs/>
          <w:i/>
          <w:iCs/>
          <w:color w:val="000000" w:themeColor="text1"/>
          <w:vertAlign w:val="superscript"/>
          <w:lang w:val="ro-RO" w:eastAsia="ro-MD"/>
        </w:rPr>
        <w:t>2</w:t>
      </w:r>
      <w:r w:rsidRPr="002D468A">
        <w:rPr>
          <w:b/>
          <w:bCs/>
          <w:i/>
          <w:iCs/>
          <w:color w:val="000000" w:themeColor="text1"/>
          <w:lang w:val="ro-RO" w:eastAsia="ro-MD"/>
        </w:rPr>
        <w:t>-a</w:t>
      </w:r>
    </w:p>
    <w:p w14:paraId="262F2737" w14:textId="77777777" w:rsidR="009A79F2" w:rsidRPr="002D468A" w:rsidRDefault="009A79F2" w:rsidP="009A79F2">
      <w:pPr>
        <w:ind w:firstLine="567"/>
        <w:jc w:val="both"/>
        <w:rPr>
          <w:b/>
          <w:bCs/>
          <w:i/>
          <w:iCs/>
          <w:color w:val="000000" w:themeColor="text1"/>
          <w:lang w:val="ro-RO" w:eastAsia="ro-MD"/>
        </w:rPr>
      </w:pPr>
      <w:r w:rsidRPr="002D468A">
        <w:rPr>
          <w:b/>
          <w:bCs/>
          <w:i/>
          <w:iCs/>
          <w:color w:val="000000" w:themeColor="text1"/>
          <w:lang w:val="ro-RO" w:eastAsia="ro-MD"/>
        </w:rPr>
        <w:t>Calculul valorilor ponderate la risc ale expunerilor și al cuantumurilor pierderilor așteptate în conformitate cu metoda substituției atunci când expunerea garantată este tratată conform abordării IRB fără utilizarea estimărilor proprii ale LGD, iar expunerea directă comparabilă față de furnizorul de protecție este tratată conform abordării IRB</w:t>
      </w:r>
    </w:p>
    <w:p w14:paraId="7A002F56" w14:textId="77777777" w:rsidR="009A79F2" w:rsidRPr="002D468A" w:rsidRDefault="009A79F2" w:rsidP="009A79F2">
      <w:pPr>
        <w:ind w:firstLine="567"/>
        <w:jc w:val="both"/>
        <w:rPr>
          <w:color w:val="000000" w:themeColor="text1"/>
          <w:lang w:val="ro-RO" w:eastAsia="ro-MD"/>
        </w:rPr>
      </w:pPr>
    </w:p>
    <w:p w14:paraId="7424E595" w14:textId="065B0941" w:rsidR="009A79F2" w:rsidRPr="002D468A" w:rsidRDefault="009A79F2" w:rsidP="00D87955">
      <w:pPr>
        <w:jc w:val="both"/>
        <w:rPr>
          <w:color w:val="000000" w:themeColor="text1"/>
          <w:lang w:val="ro-RO" w:eastAsia="ro-MD"/>
        </w:rPr>
      </w:pPr>
      <w:r w:rsidRPr="002D468A">
        <w:rPr>
          <w:b/>
          <w:bCs/>
          <w:color w:val="000000" w:themeColor="text1"/>
          <w:lang w:val="ro-RO" w:eastAsia="ro-MD"/>
        </w:rPr>
        <w:t>116</w:t>
      </w:r>
      <w:r w:rsidRPr="002D468A">
        <w:rPr>
          <w:b/>
          <w:bCs/>
          <w:color w:val="000000" w:themeColor="text1"/>
          <w:vertAlign w:val="superscript"/>
          <w:lang w:val="ro-RO" w:eastAsia="ro-MD"/>
        </w:rPr>
        <w:t>6</w:t>
      </w:r>
      <w:r w:rsidRPr="002D468A">
        <w:rPr>
          <w:b/>
          <w:bCs/>
          <w:color w:val="000000" w:themeColor="text1"/>
          <w:lang w:val="ro-RO" w:eastAsia="ro-MD"/>
        </w:rPr>
        <w:t>.</w:t>
      </w:r>
      <w:r w:rsidRPr="002D468A">
        <w:rPr>
          <w:color w:val="000000" w:themeColor="text1"/>
          <w:lang w:val="ro-RO" w:eastAsia="ro-MD"/>
        </w:rPr>
        <w:t xml:space="preserve"> În cazul unei expuneri cu protecție nefinanțată a creditului pentru care o bancă aplică abordarea IRB, fără a utiliza însă propriile estimări ale LGD, și în cazul în care expunerile directe comparabile față de furnizorul de protecție sunt tratate în conformitate cu abordarea IRB prevăzută în actul normativ al Băncii Naționale a Moldovei aferent tratamentului riscului de credit potrivit abordării bazate pe modele interne de rating, banca determină partea garantată a expunerii ca fiind cea mai mică dintre valoarea expunerii (E) și valoarea ajustată a protecției nefinanțate a creditului (G</w:t>
      </w:r>
      <w:r w:rsidRPr="002D468A">
        <w:rPr>
          <w:color w:val="000000" w:themeColor="text1"/>
          <w:vertAlign w:val="subscript"/>
          <w:lang w:val="ro-RO" w:eastAsia="ro-MD"/>
        </w:rPr>
        <w:t>A</w:t>
      </w:r>
      <w:r w:rsidRPr="002D468A">
        <w:rPr>
          <w:color w:val="000000" w:themeColor="text1"/>
          <w:lang w:val="ro-RO" w:eastAsia="ro-MD"/>
        </w:rPr>
        <w:t>).</w:t>
      </w:r>
    </w:p>
    <w:p w14:paraId="46888256" w14:textId="3658D990" w:rsidR="009A79F2" w:rsidRPr="002D468A" w:rsidRDefault="009A79F2" w:rsidP="009A79F2">
      <w:pPr>
        <w:jc w:val="both"/>
        <w:rPr>
          <w:color w:val="000000" w:themeColor="text1"/>
          <w:lang w:val="ro-RO"/>
        </w:rPr>
      </w:pPr>
      <w:r w:rsidRPr="002D468A">
        <w:rPr>
          <w:b/>
          <w:bCs/>
          <w:color w:val="000000" w:themeColor="text1"/>
          <w:lang w:val="ro-RO" w:eastAsia="ro-MD"/>
        </w:rPr>
        <w:t>116</w:t>
      </w:r>
      <w:r w:rsidRPr="002D468A">
        <w:rPr>
          <w:b/>
          <w:bCs/>
          <w:color w:val="000000" w:themeColor="text1"/>
          <w:vertAlign w:val="superscript"/>
          <w:lang w:val="ro-RO" w:eastAsia="ro-MD"/>
        </w:rPr>
        <w:t>7</w:t>
      </w:r>
      <w:r w:rsidRPr="002D468A">
        <w:rPr>
          <w:b/>
          <w:bCs/>
          <w:color w:val="000000" w:themeColor="text1"/>
          <w:lang w:val="ro-RO" w:eastAsia="ro-MD"/>
        </w:rPr>
        <w:t>.</w:t>
      </w:r>
      <w:r w:rsidRPr="002D468A">
        <w:rPr>
          <w:color w:val="000000" w:themeColor="text1"/>
          <w:lang w:val="ro-RO" w:eastAsia="ro-MD"/>
        </w:rPr>
        <w:t xml:space="preserve"> Băncile care aplică abordarea IRB expunerilor directe comparabile față de furnizorul de protecție utilizând propriile estimări ale PD calculează cuantumul ponderat la risc al expunerii și cuantumul pierderii așteptate pentru partea garantată a valorii expunerii utilizând PD a furnizorului de protecție și LGD aplicabilă pentru o expunere directă comparabilă față de furnizorul de protecție, astfel cum se menționează în </w:t>
      </w:r>
      <w:r w:rsidRPr="002D468A">
        <w:rPr>
          <w:color w:val="000000" w:themeColor="text1"/>
          <w:lang w:val="ro-RO"/>
        </w:rPr>
        <w:t>actul normativ al Băncii Naționale a Moldovei aferent tratamentului riscului de credit potrivit abordării bazate pe modele interne de rating</w:t>
      </w:r>
      <w:r w:rsidRPr="002D468A">
        <w:rPr>
          <w:color w:val="000000" w:themeColor="text1"/>
          <w:lang w:val="ro-RO" w:eastAsia="ro-MD"/>
        </w:rPr>
        <w:t>, în conformitate cu punctul 116</w:t>
      </w:r>
      <w:r w:rsidRPr="002D468A">
        <w:rPr>
          <w:color w:val="000000" w:themeColor="text1"/>
          <w:vertAlign w:val="superscript"/>
          <w:lang w:val="ro-RO" w:eastAsia="ro-MD"/>
        </w:rPr>
        <w:t>8</w:t>
      </w:r>
      <w:r w:rsidRPr="002D468A">
        <w:rPr>
          <w:color w:val="000000" w:themeColor="text1"/>
          <w:lang w:val="ro-RO" w:eastAsia="ro-MD"/>
        </w:rPr>
        <w:t xml:space="preserve">. Pentru expunerile subordonate și protecția nefinanțată a creditului nesubordonată, LGD care trebuie aplicată de către </w:t>
      </w:r>
      <w:r w:rsidR="006319A3" w:rsidRPr="002D468A">
        <w:rPr>
          <w:color w:val="000000" w:themeColor="text1"/>
          <w:lang w:val="ro-RO" w:eastAsia="ro-MD"/>
        </w:rPr>
        <w:t>bănci</w:t>
      </w:r>
      <w:r w:rsidRPr="002D468A">
        <w:rPr>
          <w:color w:val="000000" w:themeColor="text1"/>
          <w:lang w:val="ro-RO" w:eastAsia="ro-MD"/>
        </w:rPr>
        <w:t xml:space="preserve"> părții garantate a valorii expunerii este LGD asociată creanțelor cu rang prioritar, iar </w:t>
      </w:r>
      <w:r w:rsidR="006319A3" w:rsidRPr="002D468A">
        <w:rPr>
          <w:color w:val="000000" w:themeColor="text1"/>
          <w:lang w:val="ro-RO" w:eastAsia="ro-MD"/>
        </w:rPr>
        <w:t>băncile</w:t>
      </w:r>
      <w:r w:rsidRPr="002D468A">
        <w:rPr>
          <w:color w:val="000000" w:themeColor="text1"/>
          <w:lang w:val="ro-RO" w:eastAsia="ro-MD"/>
        </w:rPr>
        <w:t xml:space="preserve"> pot ține seama de orice protecție finanțată a creditului care garantează protecția nefinanțată a creditului în conformitate cu prezentul capitol.</w:t>
      </w:r>
    </w:p>
    <w:p w14:paraId="7DFCE4CC" w14:textId="4A049C01" w:rsidR="009A79F2" w:rsidRPr="002D468A" w:rsidRDefault="009A79F2" w:rsidP="00D87955">
      <w:pPr>
        <w:jc w:val="both"/>
        <w:rPr>
          <w:color w:val="000000" w:themeColor="text1"/>
          <w:lang w:val="ro-RO" w:eastAsia="ro-MD"/>
        </w:rPr>
      </w:pPr>
      <w:r w:rsidRPr="002D468A">
        <w:rPr>
          <w:b/>
          <w:bCs/>
          <w:color w:val="000000" w:themeColor="text1"/>
          <w:lang w:val="ro-RO" w:eastAsia="ro-MD"/>
        </w:rPr>
        <w:t>116</w:t>
      </w:r>
      <w:r w:rsidRPr="002D468A">
        <w:rPr>
          <w:b/>
          <w:bCs/>
          <w:color w:val="000000" w:themeColor="text1"/>
          <w:vertAlign w:val="superscript"/>
          <w:lang w:val="ro-RO" w:eastAsia="ro-MD"/>
        </w:rPr>
        <w:t>8</w:t>
      </w:r>
      <w:r w:rsidRPr="002D468A">
        <w:rPr>
          <w:b/>
          <w:bCs/>
          <w:color w:val="000000" w:themeColor="text1"/>
          <w:lang w:val="ro-RO" w:eastAsia="ro-MD"/>
        </w:rPr>
        <w:t>.</w:t>
      </w:r>
      <w:r w:rsidRPr="002D468A">
        <w:rPr>
          <w:color w:val="000000" w:themeColor="text1"/>
          <w:lang w:val="ro-RO" w:eastAsia="ro-MD"/>
        </w:rPr>
        <w:t xml:space="preserve"> Băncile calculează ponderea de risc și pierderea așteptată aplicabile părții garantate a expunerii-suport utilizând PD, LGD specificată la punctul 116</w:t>
      </w:r>
      <w:r w:rsidRPr="002D468A">
        <w:rPr>
          <w:color w:val="000000" w:themeColor="text1"/>
          <w:vertAlign w:val="superscript"/>
          <w:lang w:val="ro-RO" w:eastAsia="ro-MD"/>
        </w:rPr>
        <w:t>7</w:t>
      </w:r>
      <w:r w:rsidRPr="002D468A">
        <w:rPr>
          <w:color w:val="000000" w:themeColor="text1"/>
          <w:lang w:val="ro-RO" w:eastAsia="ro-MD"/>
        </w:rPr>
        <w:t xml:space="preserve"> și aceeași funcție de ponderare a riscului ca cele utilizate pentru o expunere directă comparabilă față de furnizorul de protecție și, dacă este cazul, utilizează scadența (M) aferentă expunerii-suport, calculată în conformitate cu actul normativ al Băncii Naționale a Moldovei aferent tratamentului riscului de credit potrivit abordării bazate pe modele interne de rating.</w:t>
      </w:r>
    </w:p>
    <w:p w14:paraId="69E251DB" w14:textId="62BC9E6D" w:rsidR="009A79F2" w:rsidRPr="002D468A" w:rsidRDefault="009A79F2" w:rsidP="00D87955">
      <w:pPr>
        <w:jc w:val="both"/>
        <w:rPr>
          <w:color w:val="000000" w:themeColor="text1"/>
          <w:lang w:val="ro-RO" w:eastAsia="ro-MD"/>
        </w:rPr>
      </w:pPr>
      <w:r w:rsidRPr="002D468A">
        <w:rPr>
          <w:b/>
          <w:bCs/>
          <w:color w:val="000000" w:themeColor="text1"/>
          <w:lang w:val="ro-RO" w:eastAsia="ro-MD"/>
        </w:rPr>
        <w:t>116</w:t>
      </w:r>
      <w:r w:rsidRPr="002D468A">
        <w:rPr>
          <w:b/>
          <w:bCs/>
          <w:color w:val="000000" w:themeColor="text1"/>
          <w:vertAlign w:val="superscript"/>
          <w:lang w:val="ro-RO" w:eastAsia="ro-MD"/>
        </w:rPr>
        <w:t>9</w:t>
      </w:r>
      <w:r w:rsidRPr="002D468A">
        <w:rPr>
          <w:b/>
          <w:bCs/>
          <w:color w:val="000000" w:themeColor="text1"/>
          <w:lang w:val="ro-RO" w:eastAsia="ro-MD"/>
        </w:rPr>
        <w:t>.</w:t>
      </w:r>
      <w:r w:rsidRPr="002D468A">
        <w:rPr>
          <w:color w:val="000000" w:themeColor="text1"/>
          <w:lang w:val="ro-RO" w:eastAsia="ro-MD"/>
        </w:rPr>
        <w:t xml:space="preserve"> Băncile care aplică abordarea IRB expunerilor directe comparabile față de furnizorul de protecție utilizând metoda aplicabilă determinării </w:t>
      </w:r>
      <w:r w:rsidR="00275E14" w:rsidRPr="002D468A">
        <w:rPr>
          <w:color w:val="000000" w:themeColor="text1"/>
          <w:lang w:val="ro-RO" w:eastAsia="ro-MD"/>
        </w:rPr>
        <w:t>valorii</w:t>
      </w:r>
      <w:r w:rsidRPr="002D468A">
        <w:rPr>
          <w:color w:val="000000" w:themeColor="text1"/>
          <w:lang w:val="ro-RO" w:eastAsia="ro-MD"/>
        </w:rPr>
        <w:t xml:space="preserve"> ponderate la risc pentru expunerile provenind din finanțări specializate prevăzută în</w:t>
      </w:r>
      <w:r w:rsidRPr="002D468A">
        <w:rPr>
          <w:color w:val="000000" w:themeColor="text1"/>
          <w:lang w:val="ro-RO"/>
        </w:rPr>
        <w:t xml:space="preserve"> </w:t>
      </w:r>
      <w:r w:rsidRPr="002D468A">
        <w:rPr>
          <w:color w:val="000000" w:themeColor="text1"/>
          <w:lang w:val="ro-RO" w:eastAsia="ro-MD"/>
        </w:rPr>
        <w:t>actul normativ al Băncii Naționale a Moldovei aferent tratamentului riscului de credit potrivit abordării bazate pe modele interne de rating</w:t>
      </w:r>
      <w:r w:rsidR="00D87955" w:rsidRPr="002D468A">
        <w:rPr>
          <w:color w:val="000000" w:themeColor="text1"/>
          <w:lang w:val="ro-RO" w:eastAsia="ro-MD"/>
        </w:rPr>
        <w:t xml:space="preserve"> </w:t>
      </w:r>
      <w:r w:rsidRPr="002D468A">
        <w:rPr>
          <w:color w:val="000000" w:themeColor="text1"/>
          <w:lang w:val="ro-RO" w:eastAsia="ro-MD"/>
        </w:rPr>
        <w:t>utilizează ponderea de risc și pierderea așteptată aplicabile părții garantate a expunerii care corespund expunerilor provenind din finanțări specializate prevăzute în actul normativ menționat.</w:t>
      </w:r>
    </w:p>
    <w:p w14:paraId="2A6B2031" w14:textId="7916A3E5" w:rsidR="009A79F2" w:rsidRPr="002D468A" w:rsidRDefault="009A79F2" w:rsidP="00D87955">
      <w:pPr>
        <w:jc w:val="both"/>
        <w:rPr>
          <w:color w:val="000000" w:themeColor="text1"/>
          <w:lang w:val="ro-RO" w:eastAsia="ro-MD"/>
        </w:rPr>
      </w:pPr>
      <w:r w:rsidRPr="002D468A">
        <w:rPr>
          <w:b/>
          <w:bCs/>
          <w:color w:val="000000" w:themeColor="text1"/>
          <w:lang w:val="ro-RO" w:eastAsia="ro-MD"/>
        </w:rPr>
        <w:t>116</w:t>
      </w:r>
      <w:r w:rsidRPr="002D468A">
        <w:rPr>
          <w:b/>
          <w:bCs/>
          <w:color w:val="000000" w:themeColor="text1"/>
          <w:vertAlign w:val="superscript"/>
          <w:lang w:val="ro-RO" w:eastAsia="ro-MD"/>
        </w:rPr>
        <w:t>10</w:t>
      </w:r>
      <w:r w:rsidRPr="002D468A">
        <w:rPr>
          <w:b/>
          <w:bCs/>
          <w:color w:val="000000" w:themeColor="text1"/>
          <w:lang w:val="ro-RO" w:eastAsia="ro-MD"/>
        </w:rPr>
        <w:t>.</w:t>
      </w:r>
      <w:r w:rsidRPr="002D468A">
        <w:rPr>
          <w:color w:val="000000" w:themeColor="text1"/>
          <w:lang w:val="ro-RO" w:eastAsia="ro-MD"/>
        </w:rPr>
        <w:t xml:space="preserve"> În pofida punctului 116</w:t>
      </w:r>
      <w:r w:rsidRPr="002D468A">
        <w:rPr>
          <w:color w:val="000000" w:themeColor="text1"/>
          <w:vertAlign w:val="superscript"/>
          <w:lang w:val="ro-RO" w:eastAsia="ro-MD"/>
        </w:rPr>
        <w:t>9</w:t>
      </w:r>
      <w:r w:rsidRPr="002D468A">
        <w:rPr>
          <w:color w:val="000000" w:themeColor="text1"/>
          <w:lang w:val="ro-RO" w:eastAsia="ro-MD"/>
        </w:rPr>
        <w:t xml:space="preserve">, băncile care aplică abordarea IRB expunerilor garantate utilizând metoda aplicabilă determinării </w:t>
      </w:r>
      <w:r w:rsidR="007B1180" w:rsidRPr="002D468A">
        <w:rPr>
          <w:color w:val="000000" w:themeColor="text1"/>
          <w:lang w:val="ro-RO" w:eastAsia="ro-MD"/>
        </w:rPr>
        <w:t>valorii</w:t>
      </w:r>
      <w:r w:rsidRPr="002D468A">
        <w:rPr>
          <w:color w:val="000000" w:themeColor="text1"/>
          <w:lang w:val="ro-RO" w:eastAsia="ro-MD"/>
        </w:rPr>
        <w:t xml:space="preserve"> ponderate la risc pentru expunerile provenind din finanțări specializate prevăzută în</w:t>
      </w:r>
      <w:r w:rsidRPr="002D468A">
        <w:rPr>
          <w:color w:val="000000" w:themeColor="text1"/>
          <w:lang w:val="ro-RO"/>
        </w:rPr>
        <w:t xml:space="preserve"> </w:t>
      </w:r>
      <w:r w:rsidRPr="002D468A">
        <w:rPr>
          <w:color w:val="000000" w:themeColor="text1"/>
          <w:lang w:val="ro-RO" w:eastAsia="ro-MD"/>
        </w:rPr>
        <w:t>actul normativ al Băncii Naționale a Moldovei aferent tratamentului riscului de credit potrivit abordării bazate pe modele interne de rating calculează ponderea de risc și pierderea așteptată aplicabile părții garantate a expunerii utilizând PD, LGD aplicabilă unei expuneri directe comparabile față de furnizorul de protecție, astfel cum se menționează în actul normativ al Băncii Naționale a Moldovei aferent tratamentului riscului de credit potrivit abordării bazate pe modele interne de rating, în conformitate cu punctul 116</w:t>
      </w:r>
      <w:r w:rsidRPr="002D468A">
        <w:rPr>
          <w:color w:val="000000" w:themeColor="text1"/>
          <w:vertAlign w:val="superscript"/>
          <w:lang w:val="ro-RO" w:eastAsia="ro-MD"/>
        </w:rPr>
        <w:t>8</w:t>
      </w:r>
      <w:r w:rsidRPr="002D468A">
        <w:rPr>
          <w:color w:val="000000" w:themeColor="text1"/>
          <w:lang w:val="ro-RO" w:eastAsia="ro-MD"/>
        </w:rPr>
        <w:t>, și aceeași funcție de ponderare a riscului ca cele utilizate pentru o expunere directă comparabilă față de furnizorul de protecție și, dacă este cazul, utilizează scadența (M) aferentă expunerii-suport, calculată în conformitate cu. Pentru expunerile subordonate și protecția nefinanțată a creditului nesubordonată, LGD care trebuie aplicată de către bănci părții garantate a valorii expunerii este LGD asociată creanțelor cu rang prioritar, iar băncile pot ține seama de orice protecție finanțată a creditului care garantează protecția nefinanțată a creditului în conformitate cu prezentul regulament.</w:t>
      </w:r>
    </w:p>
    <w:p w14:paraId="6ABEC546" w14:textId="14F0090A" w:rsidR="009A79F2" w:rsidRPr="002D468A" w:rsidRDefault="009A79F2" w:rsidP="00D87955">
      <w:pPr>
        <w:jc w:val="both"/>
        <w:rPr>
          <w:color w:val="000000" w:themeColor="text1"/>
          <w:lang w:val="ro-RO" w:eastAsia="ro-MD"/>
        </w:rPr>
      </w:pPr>
      <w:r w:rsidRPr="002D468A">
        <w:rPr>
          <w:b/>
          <w:bCs/>
          <w:color w:val="000000" w:themeColor="text1"/>
          <w:lang w:val="ro-RO" w:eastAsia="ro-MD"/>
        </w:rPr>
        <w:t>116</w:t>
      </w:r>
      <w:r w:rsidRPr="002D468A">
        <w:rPr>
          <w:b/>
          <w:bCs/>
          <w:color w:val="000000" w:themeColor="text1"/>
          <w:vertAlign w:val="superscript"/>
          <w:lang w:val="ro-RO" w:eastAsia="ro-MD"/>
        </w:rPr>
        <w:t>11</w:t>
      </w:r>
      <w:r w:rsidRPr="002D468A">
        <w:rPr>
          <w:b/>
          <w:bCs/>
          <w:color w:val="000000" w:themeColor="text1"/>
          <w:lang w:val="ro-RO" w:eastAsia="ro-MD"/>
        </w:rPr>
        <w:t>.</w:t>
      </w:r>
      <w:r w:rsidRPr="002D468A">
        <w:rPr>
          <w:color w:val="000000" w:themeColor="text1"/>
          <w:lang w:val="ro-RO" w:eastAsia="ro-MD"/>
        </w:rPr>
        <w:t xml:space="preserve"> Pentru orice parte negarantată a valorii expunerii (E), băncile utilizează ponderea de risc și pierderea așteptată corespunzătoare expunerii-suport. Pentru calculul valorilor pierderilor așteptate, al deficitului conform IRB și al excedentului conform IRB prevăzut în actul normativ al Băncii Naționale a Moldovei aferent tratamentului riscului de credit potrivit abordării bazate pe modele interne de rating, băncile atribuie părții negarantate a valorii expunerii orice ajustare generală sau </w:t>
      </w:r>
      <w:r w:rsidRPr="002D468A">
        <w:rPr>
          <w:color w:val="000000" w:themeColor="text1"/>
          <w:lang w:val="ro-RO" w:eastAsia="ro-MD"/>
        </w:rPr>
        <w:lastRenderedPageBreak/>
        <w:t>specifică pentru riscul de credit sau orice ajustare de valoare suplimentară în conformitate cu Regulamentul 109/2018 legată de activitățile din afara portofoliului de tranzacționare ale băncii sau orice altă reducere a fondurilor proprii legată de expunere, alta decât deducerile privind  cuantumul aplicabil al acoperirii insuficiente pentru expunerile neperformante efectuate în conformitate cu Regulamentul nr.109/2018.</w:t>
      </w:r>
    </w:p>
    <w:p w14:paraId="33A30797" w14:textId="36C9432F" w:rsidR="009A79F2" w:rsidRPr="002D468A" w:rsidRDefault="009A79F2" w:rsidP="00D87955">
      <w:pPr>
        <w:jc w:val="both"/>
        <w:rPr>
          <w:color w:val="000000" w:themeColor="text1"/>
          <w:lang w:val="ro-RO" w:eastAsia="ro-MD"/>
        </w:rPr>
      </w:pPr>
      <w:r w:rsidRPr="002D468A">
        <w:rPr>
          <w:b/>
          <w:bCs/>
          <w:color w:val="000000" w:themeColor="text1"/>
          <w:lang w:val="ro-RO" w:eastAsia="ro-MD"/>
        </w:rPr>
        <w:t>116</w:t>
      </w:r>
      <w:r w:rsidRPr="002D468A">
        <w:rPr>
          <w:b/>
          <w:bCs/>
          <w:color w:val="000000" w:themeColor="text1"/>
          <w:vertAlign w:val="superscript"/>
          <w:lang w:val="ro-RO" w:eastAsia="ro-MD"/>
        </w:rPr>
        <w:t>12</w:t>
      </w:r>
      <w:r w:rsidRPr="002D468A">
        <w:rPr>
          <w:b/>
          <w:bCs/>
          <w:color w:val="000000" w:themeColor="text1"/>
          <w:lang w:val="ro-RO" w:eastAsia="ro-MD"/>
        </w:rPr>
        <w:t>.</w:t>
      </w:r>
      <w:r w:rsidRPr="002D468A">
        <w:rPr>
          <w:color w:val="000000" w:themeColor="text1"/>
          <w:lang w:val="ro-RO" w:eastAsia="ro-MD"/>
        </w:rPr>
        <w:t xml:space="preserve"> În sensul prezentei secțiuni, (G</w:t>
      </w:r>
      <w:r w:rsidRPr="002D468A">
        <w:rPr>
          <w:color w:val="000000" w:themeColor="text1"/>
          <w:vertAlign w:val="subscript"/>
          <w:lang w:val="ro-RO" w:eastAsia="ro-MD"/>
        </w:rPr>
        <w:t>A</w:t>
      </w:r>
      <w:r w:rsidRPr="002D468A">
        <w:rPr>
          <w:color w:val="000000" w:themeColor="text1"/>
          <w:lang w:val="ro-RO" w:eastAsia="ro-MD"/>
        </w:rPr>
        <w:t xml:space="preserve">) este valoarea protecției creditului ajustat în funcție de riscul valutar (G*) calculată în conformitate cu punctul 12 și ajustată suplimentar pentru orice neconcordanță de scadențe astfel cum se prevede în titlul V „neconcordanța de scadențe”. Valoarea expunerii (E) este valoarea expunerii determinată în conformitate cu actul normativ al Băncii Naționale a Moldovei aferent tratamentului riscului de credit potrivit abordării bazate pe modele interne de rating. Băncile calculează valoarea expunerii pentru elementele </w:t>
      </w:r>
      <w:proofErr w:type="spellStart"/>
      <w:r w:rsidRPr="002D468A">
        <w:rPr>
          <w:color w:val="000000" w:themeColor="text1"/>
          <w:lang w:val="ro-RO" w:eastAsia="ro-MD"/>
        </w:rPr>
        <w:t>extrabilanțiere</w:t>
      </w:r>
      <w:proofErr w:type="spellEnd"/>
      <w:r w:rsidRPr="002D468A">
        <w:rPr>
          <w:color w:val="000000" w:themeColor="text1"/>
          <w:lang w:val="ro-RO" w:eastAsia="ro-MD"/>
        </w:rPr>
        <w:t>, altele decât instrumentele financiare derivate tratate conform abordării IRB, utilizând un CCF de 100% în locul CCF pe baza abordării standardizate sau al CCF pe baza IRB prevăzuți în actul normativ al Băncii Naționale a Moldovei aferent tratamentului riscului de credit potrivit abordării bazate pe modele interne de rating.</w:t>
      </w:r>
    </w:p>
    <w:p w14:paraId="1066FAAF" w14:textId="77777777" w:rsidR="009A79F2" w:rsidRPr="002D468A" w:rsidRDefault="009A79F2" w:rsidP="009A79F2">
      <w:pPr>
        <w:jc w:val="center"/>
        <w:rPr>
          <w:color w:val="000000" w:themeColor="text1"/>
          <w:lang w:val="ro-RO" w:eastAsia="ro-MD"/>
        </w:rPr>
      </w:pPr>
      <w:r w:rsidRPr="002D468A">
        <w:rPr>
          <w:b/>
          <w:bCs/>
          <w:i/>
          <w:iCs/>
          <w:color w:val="000000" w:themeColor="text1"/>
          <w:lang w:val="ro-RO" w:eastAsia="ro-MD"/>
        </w:rPr>
        <w:t>Secțiunea a 2</w:t>
      </w:r>
      <w:r w:rsidRPr="002D468A">
        <w:rPr>
          <w:b/>
          <w:bCs/>
          <w:i/>
          <w:iCs/>
          <w:color w:val="000000" w:themeColor="text1"/>
          <w:vertAlign w:val="superscript"/>
          <w:lang w:val="ro-RO" w:eastAsia="ro-MD"/>
        </w:rPr>
        <w:t>3</w:t>
      </w:r>
      <w:r w:rsidRPr="002D468A">
        <w:rPr>
          <w:b/>
          <w:bCs/>
          <w:i/>
          <w:iCs/>
          <w:color w:val="000000" w:themeColor="text1"/>
          <w:lang w:val="ro-RO" w:eastAsia="ro-MD"/>
        </w:rPr>
        <w:t>-a</w:t>
      </w:r>
    </w:p>
    <w:p w14:paraId="59ABC258" w14:textId="77777777" w:rsidR="009A79F2" w:rsidRPr="002D468A" w:rsidRDefault="009A79F2" w:rsidP="009A79F2">
      <w:pPr>
        <w:ind w:firstLine="567"/>
        <w:jc w:val="both"/>
        <w:rPr>
          <w:color w:val="000000" w:themeColor="text1"/>
          <w:lang w:val="ro-RO" w:eastAsia="ro-MD"/>
        </w:rPr>
      </w:pPr>
      <w:r w:rsidRPr="002D468A">
        <w:rPr>
          <w:b/>
          <w:bCs/>
          <w:i/>
          <w:iCs/>
          <w:color w:val="000000" w:themeColor="text1"/>
          <w:lang w:val="ro-RO" w:eastAsia="ro-MD"/>
        </w:rPr>
        <w:t>Calculul cuantumurilor ponderate la risc ale expunerilor și al cuantumurilor pierderilor așteptate în conformitate cu metoda substituției atunci când expunerea garantată este tratată conform abordării IRB utilizându-se estimările proprii ale LGD, iar o expunere directă comparabilă față de furnizorul de protecție este tratată conform abordării IRB</w:t>
      </w:r>
    </w:p>
    <w:p w14:paraId="2D4BA1B5" w14:textId="77777777" w:rsidR="009A79F2" w:rsidRPr="002D468A" w:rsidRDefault="009A79F2" w:rsidP="009A79F2">
      <w:pPr>
        <w:ind w:firstLine="567"/>
        <w:jc w:val="both"/>
        <w:rPr>
          <w:color w:val="000000" w:themeColor="text1"/>
          <w:lang w:val="ro-RO" w:eastAsia="ro-MD"/>
        </w:rPr>
      </w:pPr>
    </w:p>
    <w:p w14:paraId="49875A45" w14:textId="20EAB5B5" w:rsidR="009A79F2" w:rsidRPr="002D468A" w:rsidRDefault="009A79F2" w:rsidP="00D87955">
      <w:pPr>
        <w:jc w:val="both"/>
        <w:rPr>
          <w:color w:val="000000" w:themeColor="text1"/>
          <w:lang w:val="ro-RO" w:eastAsia="ro-MD"/>
        </w:rPr>
      </w:pPr>
      <w:r w:rsidRPr="002D468A">
        <w:rPr>
          <w:b/>
          <w:bCs/>
          <w:color w:val="000000" w:themeColor="text1"/>
          <w:lang w:val="ro-RO" w:eastAsia="ro-MD"/>
        </w:rPr>
        <w:t>116</w:t>
      </w:r>
      <w:r w:rsidRPr="002D468A">
        <w:rPr>
          <w:b/>
          <w:bCs/>
          <w:color w:val="000000" w:themeColor="text1"/>
          <w:vertAlign w:val="superscript"/>
          <w:lang w:val="ro-RO" w:eastAsia="ro-MD"/>
        </w:rPr>
        <w:t>13</w:t>
      </w:r>
      <w:r w:rsidRPr="002D468A">
        <w:rPr>
          <w:b/>
          <w:bCs/>
          <w:color w:val="000000" w:themeColor="text1"/>
          <w:lang w:val="ro-RO" w:eastAsia="ro-MD"/>
        </w:rPr>
        <w:t>.</w:t>
      </w:r>
      <w:r w:rsidRPr="002D468A">
        <w:rPr>
          <w:color w:val="000000" w:themeColor="text1"/>
          <w:lang w:val="ro-RO" w:eastAsia="ro-MD"/>
        </w:rPr>
        <w:t xml:space="preserve"> În cazul unei expuneri cu protecție nefinanțată a creditului pentru care o bancă aplică abordarea IRB utilizând propriile estimări ale LGD și în cazul în care expunerile directe comparabile față de furnizorul de protecție sunt tratate în conformitate cu abordarea IRB, însă fără utilizarea propriilor estimări ale LGD, banca determină partea garantată a expunerii ca fiind cea mai mică dintre valoarea expunerii (E) și valoarea ajustată a protecției nefinanțate a creditului (G</w:t>
      </w:r>
      <w:r w:rsidRPr="002D468A">
        <w:rPr>
          <w:color w:val="000000" w:themeColor="text1"/>
          <w:vertAlign w:val="subscript"/>
          <w:lang w:val="ro-RO" w:eastAsia="ro-MD"/>
        </w:rPr>
        <w:t>A</w:t>
      </w:r>
      <w:r w:rsidRPr="002D468A">
        <w:rPr>
          <w:color w:val="000000" w:themeColor="text1"/>
          <w:lang w:val="ro-RO" w:eastAsia="ro-MD"/>
        </w:rPr>
        <w:t>), calculată în conformitate cu punctul 116</w:t>
      </w:r>
      <w:r w:rsidRPr="002D468A">
        <w:rPr>
          <w:color w:val="000000" w:themeColor="text1"/>
          <w:vertAlign w:val="superscript"/>
          <w:lang w:val="ro-RO" w:eastAsia="ro-MD"/>
        </w:rPr>
        <w:t>1</w:t>
      </w:r>
      <w:r w:rsidRPr="002D468A">
        <w:rPr>
          <w:color w:val="000000" w:themeColor="text1"/>
          <w:lang w:val="ro-RO" w:eastAsia="ro-MD"/>
        </w:rPr>
        <w:t>. Banca calculează valoarea ponderată la risc a expunerii și cuantumul pierderii așteptate pentru partea garantată a valorii expunerii utilizând PD, LGD și aceeași funcție de ponderare a riscului ca cele utilizate pentru o expunere directă comparabilă față de furnizorul de protecție și utilizează, dacă este cazul, scadența (M) aferentă expunerii-suport.</w:t>
      </w:r>
    </w:p>
    <w:p w14:paraId="689EE7C6" w14:textId="484C17A5" w:rsidR="009A79F2" w:rsidRPr="002D468A" w:rsidRDefault="009A79F2" w:rsidP="00D87955">
      <w:pPr>
        <w:jc w:val="both"/>
        <w:rPr>
          <w:color w:val="000000" w:themeColor="text1"/>
          <w:lang w:val="ro-RO" w:eastAsia="ro-MD"/>
        </w:rPr>
      </w:pPr>
      <w:r w:rsidRPr="002D468A">
        <w:rPr>
          <w:b/>
          <w:bCs/>
          <w:color w:val="000000" w:themeColor="text1"/>
          <w:lang w:val="ro-RO" w:eastAsia="ro-MD"/>
        </w:rPr>
        <w:t>116</w:t>
      </w:r>
      <w:r w:rsidRPr="002D468A">
        <w:rPr>
          <w:b/>
          <w:bCs/>
          <w:color w:val="000000" w:themeColor="text1"/>
          <w:vertAlign w:val="superscript"/>
          <w:lang w:val="ro-RO" w:eastAsia="ro-MD"/>
        </w:rPr>
        <w:t>14</w:t>
      </w:r>
      <w:r w:rsidRPr="002D468A">
        <w:rPr>
          <w:b/>
          <w:bCs/>
          <w:color w:val="000000" w:themeColor="text1"/>
          <w:lang w:val="ro-RO" w:eastAsia="ro-MD"/>
        </w:rPr>
        <w:t>.</w:t>
      </w:r>
      <w:r w:rsidRPr="002D468A">
        <w:rPr>
          <w:color w:val="000000" w:themeColor="text1"/>
          <w:lang w:val="ro-RO" w:eastAsia="ro-MD"/>
        </w:rPr>
        <w:t xml:space="preserve"> Băncile care aplică abordarea IRB, dar fără a utiliza propriile estimări ale LGD, expunerilor directe comparabile față de furnizorul de protecție determină LGD în conformitate cu actul normativ al Băncii Naționale a Moldovei aferent tratamentului riscului de credit potrivit abordării bazate pe modele interne de rating. Pentru expunerile subordonate și protecția nefinanțată a creditului nesubordonată, LGD care trebuie aplicată de către bănci părții garantate a valorii expunerii este LGD asociată creanțelor cu rang prioritar, iar băncile ar putea ține seama de orice protecție finanțată a creditului care garantează protecția nefinanțată a creditului în conformitate cu prezentul regulament.</w:t>
      </w:r>
    </w:p>
    <w:p w14:paraId="332E878C" w14:textId="5AF19075" w:rsidR="009A79F2" w:rsidRPr="002D468A" w:rsidRDefault="009A79F2" w:rsidP="00D87955">
      <w:pPr>
        <w:jc w:val="both"/>
        <w:rPr>
          <w:color w:val="000000" w:themeColor="text1"/>
          <w:lang w:val="ro-RO" w:eastAsia="ro-MD"/>
        </w:rPr>
      </w:pPr>
      <w:r w:rsidRPr="002D468A">
        <w:rPr>
          <w:b/>
          <w:bCs/>
          <w:color w:val="000000" w:themeColor="text1"/>
          <w:lang w:val="ro-RO" w:eastAsia="ro-MD"/>
        </w:rPr>
        <w:t>116</w:t>
      </w:r>
      <w:r w:rsidRPr="002D468A">
        <w:rPr>
          <w:b/>
          <w:bCs/>
          <w:color w:val="000000" w:themeColor="text1"/>
          <w:vertAlign w:val="superscript"/>
          <w:lang w:val="ro-RO" w:eastAsia="ro-MD"/>
        </w:rPr>
        <w:t>15</w:t>
      </w:r>
      <w:r w:rsidRPr="002D468A">
        <w:rPr>
          <w:b/>
          <w:bCs/>
          <w:color w:val="000000" w:themeColor="text1"/>
          <w:lang w:val="ro-RO" w:eastAsia="ro-MD"/>
        </w:rPr>
        <w:t>.</w:t>
      </w:r>
      <w:r w:rsidRPr="002D468A">
        <w:rPr>
          <w:color w:val="000000" w:themeColor="text1"/>
          <w:lang w:val="ro-RO" w:eastAsia="ro-MD"/>
        </w:rPr>
        <w:t xml:space="preserve"> Băncile care aplică abordarea IRB, utilizând propriile estimări ale LGD, expunerilor directe comparabile față de furnizorul de protecție calculează ponderea de risc și pierderea așteptată aplicabile părții garantate a expunerii-suport utilizând PD, LGD și aceeași funcție de ponderare a riscului ca cele utilizate pentru o expunere directă comparabilă față de furnizorul de protecție și utilizează, dacă este cazul, scadența (M) aferentă expunerii-suport, calculată în conformitate cu actul normativ al Băncii Naționale a Moldovei aferent tratamentului riscului de credit potrivit abordării bazate pe modele interne de rating.</w:t>
      </w:r>
    </w:p>
    <w:p w14:paraId="1B12DFED" w14:textId="6FDD09A7" w:rsidR="009A79F2" w:rsidRPr="002D468A" w:rsidRDefault="009A79F2" w:rsidP="00D87955">
      <w:pPr>
        <w:jc w:val="both"/>
        <w:rPr>
          <w:color w:val="000000" w:themeColor="text1"/>
          <w:lang w:val="ro-RO" w:eastAsia="ro-MD"/>
        </w:rPr>
      </w:pPr>
      <w:r w:rsidRPr="002D468A">
        <w:rPr>
          <w:b/>
          <w:bCs/>
          <w:color w:val="000000" w:themeColor="text1"/>
          <w:lang w:val="ro-RO" w:eastAsia="ro-MD"/>
        </w:rPr>
        <w:t>116</w:t>
      </w:r>
      <w:r w:rsidRPr="002D468A">
        <w:rPr>
          <w:b/>
          <w:bCs/>
          <w:color w:val="000000" w:themeColor="text1"/>
          <w:vertAlign w:val="superscript"/>
          <w:lang w:val="ro-RO" w:eastAsia="ro-MD"/>
        </w:rPr>
        <w:t>16</w:t>
      </w:r>
      <w:r w:rsidRPr="002D468A">
        <w:rPr>
          <w:b/>
          <w:bCs/>
          <w:color w:val="000000" w:themeColor="text1"/>
          <w:lang w:val="ro-RO" w:eastAsia="ro-MD"/>
        </w:rPr>
        <w:t>.</w:t>
      </w:r>
      <w:r w:rsidRPr="002D468A">
        <w:rPr>
          <w:color w:val="000000" w:themeColor="text1"/>
          <w:lang w:val="ro-RO" w:eastAsia="ro-MD"/>
        </w:rPr>
        <w:t xml:space="preserve"> Băncile care aplică abordarea IRB expunerilor directe comparabile față de furnizorul de protecție utilizând metoda aplicabilă determinării vaporii ponderate la risc pentru expunerile provenind din finanțări specializate prevăzută în</w:t>
      </w:r>
      <w:r w:rsidRPr="002D468A">
        <w:rPr>
          <w:color w:val="000000" w:themeColor="text1"/>
          <w:lang w:val="ro-RO"/>
        </w:rPr>
        <w:t xml:space="preserve"> </w:t>
      </w:r>
      <w:r w:rsidRPr="002D468A">
        <w:rPr>
          <w:color w:val="000000" w:themeColor="text1"/>
          <w:lang w:val="ro-RO" w:eastAsia="ro-MD"/>
        </w:rPr>
        <w:t>actul normativ al Băncii Naționale a Moldovei aferent tratamentului riscului de credit potrivit abordării bazate pe modele interne de rating</w:t>
      </w:r>
      <w:r w:rsidR="00D87955" w:rsidRPr="002D468A">
        <w:rPr>
          <w:color w:val="000000" w:themeColor="text1"/>
          <w:lang w:val="ro-RO" w:eastAsia="ro-MD"/>
        </w:rPr>
        <w:t xml:space="preserve"> </w:t>
      </w:r>
      <w:r w:rsidRPr="002D468A">
        <w:rPr>
          <w:color w:val="000000" w:themeColor="text1"/>
          <w:lang w:val="ro-RO" w:eastAsia="ro-MD"/>
        </w:rPr>
        <w:t xml:space="preserve">utilizează </w:t>
      </w:r>
      <w:r w:rsidRPr="002D468A">
        <w:rPr>
          <w:color w:val="000000" w:themeColor="text1"/>
          <w:lang w:val="ro-RO" w:eastAsia="ro-MD"/>
        </w:rPr>
        <w:lastRenderedPageBreak/>
        <w:t>ponderea de risc și pierderea așteptată aplicabile părții garantate a expunerii care corespund expunerilor provenind din finanțări specializate prevăzute în actul normativ menționat.</w:t>
      </w:r>
    </w:p>
    <w:p w14:paraId="3E254750" w14:textId="6F268458" w:rsidR="009A79F2" w:rsidRPr="002D468A" w:rsidRDefault="009A79F2" w:rsidP="00D87955">
      <w:pPr>
        <w:jc w:val="both"/>
        <w:rPr>
          <w:color w:val="000000" w:themeColor="text1"/>
          <w:lang w:val="ro-RO" w:eastAsia="ro-MD"/>
        </w:rPr>
      </w:pPr>
      <w:r w:rsidRPr="002D468A">
        <w:rPr>
          <w:b/>
          <w:bCs/>
          <w:color w:val="000000" w:themeColor="text1"/>
          <w:lang w:val="ro-RO" w:eastAsia="ro-MD"/>
        </w:rPr>
        <w:t>116</w:t>
      </w:r>
      <w:r w:rsidRPr="002D468A">
        <w:rPr>
          <w:b/>
          <w:bCs/>
          <w:color w:val="000000" w:themeColor="text1"/>
          <w:vertAlign w:val="superscript"/>
          <w:lang w:val="ro-RO" w:eastAsia="ro-MD"/>
        </w:rPr>
        <w:t>17</w:t>
      </w:r>
      <w:r w:rsidRPr="002D468A">
        <w:rPr>
          <w:b/>
          <w:bCs/>
          <w:color w:val="000000" w:themeColor="text1"/>
          <w:lang w:val="ro-RO" w:eastAsia="ro-MD"/>
        </w:rPr>
        <w:t>.</w:t>
      </w:r>
      <w:r w:rsidRPr="002D468A">
        <w:rPr>
          <w:color w:val="000000" w:themeColor="text1"/>
          <w:lang w:val="ro-RO" w:eastAsia="ro-MD"/>
        </w:rPr>
        <w:t xml:space="preserve"> Pentru orice parte negarantată a valorii expunerii (E), băncile utilizează ponderea de risc și pierderea așteptată corespunzătoare expunerii-suport. Pentru calculul valorilor pierderilor așteptate, al deficitului conform IRB și al excedentului conform IRB prevăzut în actul normativ al Băncii Naționale a Moldovei aferent tratamentului riscului de credit potrivit abordării bazate pe modele interne de rating prevăzut la, băncile atribuie părții negarantate a valorii expunerii orice ajustare generală sau specifică pentru riscul de credit sau orice ajustare de valoare suplimentară în conformitate cu Regulamentul 109/2018 legată de activitățile din afara portofoliului de tranzacționare ale băncii sau orice altă reducere a fondurilor proprii legată de expunere, alta decât deducerile privind cuantumul aplicabil al acoperirii insuficiente pentru expunerile neperformante efectuate în conformitate cu Regulamentul nr.109/2018.</w:t>
      </w:r>
      <w:r w:rsidRPr="002D468A">
        <w:rPr>
          <w:color w:val="000000" w:themeColor="text1"/>
          <w:sz w:val="18"/>
          <w:szCs w:val="18"/>
          <w:lang w:val="ro-RO" w:eastAsia="ro-MD"/>
        </w:rPr>
        <w:t>”.</w:t>
      </w:r>
    </w:p>
    <w:p w14:paraId="1B0CD839" w14:textId="4038FDDE" w:rsidR="000B2CBE" w:rsidRPr="002D468A" w:rsidRDefault="00754EA6" w:rsidP="008239F2">
      <w:pPr>
        <w:pStyle w:val="ListParagraph"/>
        <w:numPr>
          <w:ilvl w:val="1"/>
          <w:numId w:val="27"/>
        </w:numPr>
        <w:spacing w:before="80"/>
        <w:ind w:left="0" w:firstLine="567"/>
        <w:contextualSpacing w:val="0"/>
        <w:jc w:val="both"/>
        <w:rPr>
          <w:color w:val="000000" w:themeColor="text1"/>
          <w:lang w:val="ro-RO"/>
        </w:rPr>
      </w:pPr>
      <w:r w:rsidRPr="002D468A">
        <w:rPr>
          <w:color w:val="000000" w:themeColor="text1"/>
          <w:lang w:val="ro-RO" w:eastAsia="ro-MD"/>
        </w:rPr>
        <w:t>Punctul 119</w:t>
      </w:r>
      <w:r w:rsidRPr="002D468A">
        <w:rPr>
          <w:lang w:val="ro-RO"/>
        </w:rPr>
        <w:t xml:space="preserve"> se completează cu textul „</w:t>
      </w:r>
      <w:r w:rsidRPr="002D468A">
        <w:rPr>
          <w:color w:val="000000" w:themeColor="text1"/>
          <w:lang w:val="ro-RO" w:eastAsia="ro-MD"/>
        </w:rPr>
        <w:t>sau dacă expunerea este o expunere pe termen scurt, a cărei valoare a scadenței (M) calculată conform actului normativ al Băncii Naționale a Moldovei aferent tratamentului riscului de credit potrivit abordării bazate pe modele interne de rating este supusă, unui plafon de o zi și nu de un an”.</w:t>
      </w:r>
    </w:p>
    <w:p w14:paraId="29CEB5BB" w14:textId="395EE1A2" w:rsidR="000B2CBE" w:rsidRPr="002D468A" w:rsidRDefault="00754EA6" w:rsidP="008239F2">
      <w:pPr>
        <w:pStyle w:val="ListParagraph"/>
        <w:numPr>
          <w:ilvl w:val="1"/>
          <w:numId w:val="27"/>
        </w:numPr>
        <w:spacing w:before="80"/>
        <w:ind w:left="0" w:firstLine="567"/>
        <w:contextualSpacing w:val="0"/>
        <w:jc w:val="both"/>
        <w:rPr>
          <w:color w:val="000000" w:themeColor="text1"/>
          <w:lang w:val="ro-RO"/>
        </w:rPr>
      </w:pPr>
      <w:r w:rsidRPr="002D468A">
        <w:rPr>
          <w:color w:val="000000" w:themeColor="text1"/>
          <w:lang w:val="ro-RO" w:eastAsia="ro-MD"/>
        </w:rPr>
        <w:t>Titlul VI se abrogă.</w:t>
      </w:r>
    </w:p>
    <w:p w14:paraId="5B240657" w14:textId="5048EF6A" w:rsidR="00F7502D" w:rsidRPr="002D468A" w:rsidRDefault="002865EE" w:rsidP="008239F2">
      <w:pPr>
        <w:pStyle w:val="ListParagraph"/>
        <w:numPr>
          <w:ilvl w:val="0"/>
          <w:numId w:val="27"/>
        </w:numPr>
        <w:spacing w:before="120" w:after="80"/>
        <w:ind w:left="0" w:firstLine="567"/>
        <w:contextualSpacing w:val="0"/>
        <w:jc w:val="both"/>
        <w:rPr>
          <w:color w:val="000000" w:themeColor="text1"/>
          <w:lang w:val="ro-MD"/>
        </w:rPr>
      </w:pPr>
      <w:r w:rsidRPr="002D468A">
        <w:rPr>
          <w:color w:val="000000" w:themeColor="text1"/>
          <w:lang w:val="ro-MD"/>
        </w:rPr>
        <w:t>Prezenta hotărâre intră în vigoare</w:t>
      </w:r>
      <w:r w:rsidR="003C0F8D" w:rsidRPr="002D468A">
        <w:rPr>
          <w:color w:val="000000" w:themeColor="text1"/>
          <w:lang w:val="ro-MD"/>
        </w:rPr>
        <w:t xml:space="preserve"> </w:t>
      </w:r>
      <w:r w:rsidR="00F7502D" w:rsidRPr="002D468A">
        <w:rPr>
          <w:color w:val="000000" w:themeColor="text1"/>
          <w:lang w:val="ro-MD"/>
        </w:rPr>
        <w:t xml:space="preserve">la </w:t>
      </w:r>
      <w:r w:rsidR="001E0E28" w:rsidRPr="002D468A">
        <w:rPr>
          <w:color w:val="000000" w:themeColor="text1"/>
          <w:lang w:val="ro-MD"/>
        </w:rPr>
        <w:t xml:space="preserve">1 </w:t>
      </w:r>
      <w:r w:rsidR="0023120D" w:rsidRPr="002D468A">
        <w:rPr>
          <w:color w:val="000000" w:themeColor="text1"/>
          <w:lang w:val="ro-MD"/>
        </w:rPr>
        <w:t>iulie</w:t>
      </w:r>
      <w:r w:rsidR="001E0E28" w:rsidRPr="002D468A">
        <w:rPr>
          <w:color w:val="000000" w:themeColor="text1"/>
          <w:lang w:val="ro-MD"/>
        </w:rPr>
        <w:t xml:space="preserve"> 2027</w:t>
      </w:r>
      <w:r w:rsidR="006952B7" w:rsidRPr="002D468A">
        <w:rPr>
          <w:color w:val="000000" w:themeColor="text1"/>
          <w:lang w:val="ro-MD"/>
        </w:rPr>
        <w:t>,</w:t>
      </w:r>
      <w:r w:rsidR="001E0E28" w:rsidRPr="002D468A">
        <w:rPr>
          <w:color w:val="000000" w:themeColor="text1"/>
          <w:lang w:val="ro-MD"/>
        </w:rPr>
        <w:t xml:space="preserve"> cu excepția </w:t>
      </w:r>
      <w:bookmarkEnd w:id="3"/>
      <w:r w:rsidR="00D068BA" w:rsidRPr="002D468A">
        <w:rPr>
          <w:color w:val="000000" w:themeColor="text1"/>
          <w:lang w:val="ro-MD"/>
        </w:rPr>
        <w:t>punctelor 1.1</w:t>
      </w:r>
      <w:r w:rsidR="0096667F" w:rsidRPr="002D468A">
        <w:rPr>
          <w:color w:val="000000" w:themeColor="text1"/>
          <w:lang w:val="ro-MD"/>
        </w:rPr>
        <w:t>7</w:t>
      </w:r>
      <w:r w:rsidR="00D068BA" w:rsidRPr="002D468A">
        <w:rPr>
          <w:color w:val="000000" w:themeColor="text1"/>
          <w:lang w:val="ro-MD"/>
        </w:rPr>
        <w:t>.4,</w:t>
      </w:r>
      <w:r w:rsidR="00F54E01" w:rsidRPr="002D468A">
        <w:rPr>
          <w:color w:val="000000" w:themeColor="text1"/>
          <w:lang w:val="ro-MD"/>
        </w:rPr>
        <w:t xml:space="preserve"> 1.2</w:t>
      </w:r>
      <w:r w:rsidR="0096667F" w:rsidRPr="002D468A">
        <w:rPr>
          <w:color w:val="000000" w:themeColor="text1"/>
          <w:lang w:val="ro-MD"/>
        </w:rPr>
        <w:t>4</w:t>
      </w:r>
      <w:r w:rsidR="00F54E01" w:rsidRPr="002D468A">
        <w:rPr>
          <w:color w:val="000000" w:themeColor="text1"/>
          <w:lang w:val="ro-MD"/>
        </w:rPr>
        <w:t>,</w:t>
      </w:r>
      <w:r w:rsidR="00D068BA" w:rsidRPr="002D468A">
        <w:rPr>
          <w:color w:val="000000" w:themeColor="text1"/>
          <w:lang w:val="ro-MD"/>
        </w:rPr>
        <w:t xml:space="preserve"> </w:t>
      </w:r>
      <w:r w:rsidR="000D26A9" w:rsidRPr="002D468A">
        <w:rPr>
          <w:color w:val="000000" w:themeColor="text1"/>
          <w:lang w:val="ro-MD"/>
        </w:rPr>
        <w:t>1.5</w:t>
      </w:r>
      <w:r w:rsidR="0096667F" w:rsidRPr="002D468A">
        <w:rPr>
          <w:color w:val="000000" w:themeColor="text1"/>
          <w:lang w:val="ro-MD"/>
        </w:rPr>
        <w:t>5</w:t>
      </w:r>
      <w:r w:rsidR="000D26A9" w:rsidRPr="002D468A">
        <w:rPr>
          <w:color w:val="000000" w:themeColor="text1"/>
          <w:lang w:val="ro-MD"/>
        </w:rPr>
        <w:t xml:space="preserve">.1, </w:t>
      </w:r>
      <w:r w:rsidR="00D068BA" w:rsidRPr="002D468A">
        <w:rPr>
          <w:color w:val="000000" w:themeColor="text1"/>
          <w:lang w:val="ro-MD"/>
        </w:rPr>
        <w:t>1.5</w:t>
      </w:r>
      <w:r w:rsidR="0096667F" w:rsidRPr="002D468A">
        <w:rPr>
          <w:color w:val="000000" w:themeColor="text1"/>
          <w:lang w:val="ro-MD"/>
        </w:rPr>
        <w:t>5</w:t>
      </w:r>
      <w:r w:rsidR="00D068BA" w:rsidRPr="002D468A">
        <w:rPr>
          <w:color w:val="000000" w:themeColor="text1"/>
          <w:lang w:val="ro-MD"/>
        </w:rPr>
        <w:t>.2, 1.6</w:t>
      </w:r>
      <w:r w:rsidR="0096667F" w:rsidRPr="002D468A">
        <w:rPr>
          <w:color w:val="000000" w:themeColor="text1"/>
          <w:lang w:val="ro-MD"/>
        </w:rPr>
        <w:t>4</w:t>
      </w:r>
      <w:r w:rsidR="00D068BA" w:rsidRPr="002D468A">
        <w:rPr>
          <w:color w:val="000000" w:themeColor="text1"/>
          <w:lang w:val="ro-MD"/>
        </w:rPr>
        <w:t>.1</w:t>
      </w:r>
      <w:r w:rsidR="00700ADF" w:rsidRPr="002D468A">
        <w:rPr>
          <w:color w:val="000000" w:themeColor="text1"/>
          <w:lang w:val="ro-MD"/>
        </w:rPr>
        <w:t xml:space="preserve"> </w:t>
      </w:r>
      <w:r w:rsidR="00D068BA" w:rsidRPr="002D468A">
        <w:rPr>
          <w:color w:val="000000" w:themeColor="text1"/>
          <w:lang w:val="ro-MD"/>
        </w:rPr>
        <w:t>în partea ce vizează</w:t>
      </w:r>
      <w:r w:rsidR="00F7502D" w:rsidRPr="002D468A">
        <w:rPr>
          <w:color w:val="000000" w:themeColor="text1"/>
          <w:lang w:val="ro-MD"/>
        </w:rPr>
        <w:t xml:space="preserve"> </w:t>
      </w:r>
      <w:r w:rsidR="00A23121" w:rsidRPr="002D468A">
        <w:rPr>
          <w:color w:val="000000" w:themeColor="text1"/>
          <w:lang w:val="ro-MD"/>
        </w:rPr>
        <w:t>elementel</w:t>
      </w:r>
      <w:r w:rsidR="00D068BA" w:rsidRPr="002D468A">
        <w:rPr>
          <w:color w:val="000000" w:themeColor="text1"/>
          <w:lang w:val="ro-MD"/>
        </w:rPr>
        <w:t>e</w:t>
      </w:r>
      <w:r w:rsidR="00A23121" w:rsidRPr="002D468A">
        <w:rPr>
          <w:color w:val="000000" w:themeColor="text1"/>
          <w:lang w:val="ro-MD"/>
        </w:rPr>
        <w:t xml:space="preserve"> reprezentând poziții din </w:t>
      </w:r>
      <w:r w:rsidR="00F7502D" w:rsidRPr="002D468A">
        <w:rPr>
          <w:color w:val="000000" w:themeColor="text1"/>
          <w:lang w:val="ro-MD"/>
        </w:rPr>
        <w:t>securitizări</w:t>
      </w:r>
      <w:r w:rsidR="00135C24" w:rsidRPr="002D468A">
        <w:rPr>
          <w:color w:val="000000" w:themeColor="text1"/>
          <w:lang w:val="ro-MD"/>
        </w:rPr>
        <w:t xml:space="preserve"> și</w:t>
      </w:r>
      <w:r w:rsidR="00E551C7" w:rsidRPr="002D468A">
        <w:rPr>
          <w:color w:val="000000" w:themeColor="text1"/>
          <w:lang w:val="ro-MD"/>
        </w:rPr>
        <w:t xml:space="preserve"> </w:t>
      </w:r>
      <w:r w:rsidR="0096667F" w:rsidRPr="002D468A">
        <w:rPr>
          <w:color w:val="000000" w:themeColor="text1"/>
          <w:lang w:val="ro-MD"/>
        </w:rPr>
        <w:t>punctul 1.24 (</w:t>
      </w:r>
      <w:r w:rsidR="002A22E9">
        <w:rPr>
          <w:color w:val="000000" w:themeColor="text1"/>
          <w:lang w:val="ro-MD"/>
        </w:rPr>
        <w:t xml:space="preserve">în partea ce vizează </w:t>
      </w:r>
      <w:r w:rsidR="0096667F" w:rsidRPr="002D468A">
        <w:rPr>
          <w:color w:val="000000" w:themeColor="text1"/>
          <w:lang w:val="ro-MD"/>
        </w:rPr>
        <w:t>punctele 34</w:t>
      </w:r>
      <w:r w:rsidR="0096667F" w:rsidRPr="002D468A">
        <w:rPr>
          <w:color w:val="000000" w:themeColor="text1"/>
          <w:vertAlign w:val="superscript"/>
          <w:lang w:val="ro-MD"/>
        </w:rPr>
        <w:t>4</w:t>
      </w:r>
      <w:r w:rsidR="0096667F" w:rsidRPr="002D468A">
        <w:rPr>
          <w:color w:val="000000" w:themeColor="text1"/>
          <w:lang w:val="ro-MD"/>
        </w:rPr>
        <w:t>-34</w:t>
      </w:r>
      <w:r w:rsidR="0096667F" w:rsidRPr="002D468A">
        <w:rPr>
          <w:color w:val="000000" w:themeColor="text1"/>
          <w:vertAlign w:val="superscript"/>
          <w:lang w:val="ro-MD"/>
        </w:rPr>
        <w:t>8</w:t>
      </w:r>
      <w:r w:rsidR="0096667F" w:rsidRPr="002D468A">
        <w:rPr>
          <w:color w:val="000000" w:themeColor="text1"/>
          <w:lang w:val="ro-MD"/>
        </w:rPr>
        <w:t xml:space="preserve"> din Regulament</w:t>
      </w:r>
      <w:r w:rsidR="004A7342" w:rsidRPr="002D468A">
        <w:rPr>
          <w:color w:val="000000" w:themeColor="text1"/>
          <w:lang w:val="ro-MD"/>
        </w:rPr>
        <w:t xml:space="preserve"> aferente</w:t>
      </w:r>
      <w:r w:rsidR="0096667F" w:rsidRPr="002D468A">
        <w:rPr>
          <w:color w:val="000000" w:themeColor="text1"/>
          <w:lang w:val="ro-MD"/>
        </w:rPr>
        <w:t xml:space="preserve"> </w:t>
      </w:r>
      <w:r w:rsidR="00E551C7" w:rsidRPr="002D468A">
        <w:rPr>
          <w:color w:val="000000" w:themeColor="text1"/>
          <w:lang w:val="ro-MD"/>
        </w:rPr>
        <w:t>informațiil</w:t>
      </w:r>
      <w:r w:rsidR="0096667F" w:rsidRPr="002D468A">
        <w:rPr>
          <w:color w:val="000000" w:themeColor="text1"/>
          <w:lang w:val="ro-MD"/>
        </w:rPr>
        <w:t>or</w:t>
      </w:r>
      <w:r w:rsidR="00E551C7" w:rsidRPr="002D468A">
        <w:rPr>
          <w:color w:val="000000" w:themeColor="text1"/>
          <w:lang w:val="ro-MD"/>
        </w:rPr>
        <w:t xml:space="preserve"> raportate în baza obligațiilor de raportare specifice</w:t>
      </w:r>
      <w:r w:rsidR="004A7342" w:rsidRPr="002D468A">
        <w:rPr>
          <w:color w:val="000000" w:themeColor="text1"/>
          <w:lang w:val="ro-MD"/>
        </w:rPr>
        <w:t>)</w:t>
      </w:r>
      <w:r w:rsidR="00F7502D" w:rsidRPr="002D468A">
        <w:rPr>
          <w:color w:val="000000" w:themeColor="text1"/>
          <w:lang w:val="ro-MD"/>
        </w:rPr>
        <w:t xml:space="preserve"> </w:t>
      </w:r>
      <w:r w:rsidR="00DB17CB" w:rsidRPr="002D468A">
        <w:rPr>
          <w:color w:val="000000" w:themeColor="text1"/>
          <w:lang w:val="ro-MD"/>
        </w:rPr>
        <w:t xml:space="preserve">care </w:t>
      </w:r>
      <w:r w:rsidR="00F7502D" w:rsidRPr="002D468A">
        <w:rPr>
          <w:color w:val="000000" w:themeColor="text1"/>
          <w:lang w:val="ro-MD"/>
        </w:rPr>
        <w:t>intr</w:t>
      </w:r>
      <w:r w:rsidR="006F5A3E" w:rsidRPr="002D468A">
        <w:rPr>
          <w:color w:val="000000" w:themeColor="text1"/>
          <w:lang w:val="ro-MD"/>
        </w:rPr>
        <w:t>ă</w:t>
      </w:r>
      <w:r w:rsidR="00F7502D" w:rsidRPr="002D468A">
        <w:rPr>
          <w:color w:val="000000" w:themeColor="text1"/>
          <w:lang w:val="ro-MD"/>
        </w:rPr>
        <w:t xml:space="preserve"> în vigoare la 1 ianuarie 2028</w:t>
      </w:r>
      <w:r w:rsidR="00DA1D69" w:rsidRPr="002D468A">
        <w:rPr>
          <w:color w:val="000000" w:themeColor="text1"/>
          <w:lang w:val="ro-MD"/>
        </w:rPr>
        <w:t xml:space="preserve"> și a </w:t>
      </w:r>
      <w:r w:rsidR="00CB5B53" w:rsidRPr="002D468A">
        <w:rPr>
          <w:color w:val="000000" w:themeColor="text1"/>
          <w:lang w:val="ro-MD"/>
        </w:rPr>
        <w:t>punctelor 1.25.1</w:t>
      </w:r>
      <w:r w:rsidR="00E1140A">
        <w:rPr>
          <w:color w:val="000000" w:themeColor="text1"/>
          <w:lang w:val="ro-MD"/>
        </w:rPr>
        <w:t>,</w:t>
      </w:r>
      <w:r w:rsidR="00CB5B53" w:rsidRPr="002D468A">
        <w:rPr>
          <w:color w:val="000000" w:themeColor="text1"/>
          <w:lang w:val="ro-MD"/>
        </w:rPr>
        <w:t xml:space="preserve"> 1.25.2</w:t>
      </w:r>
      <w:r w:rsidR="00E1361E" w:rsidRPr="002D468A">
        <w:rPr>
          <w:color w:val="000000" w:themeColor="text1"/>
          <w:lang w:val="ro-MD"/>
        </w:rPr>
        <w:t>,</w:t>
      </w:r>
      <w:r w:rsidR="00CB5B53" w:rsidRPr="002D468A">
        <w:rPr>
          <w:color w:val="000000" w:themeColor="text1"/>
          <w:lang w:val="ro-RO"/>
        </w:rPr>
        <w:t xml:space="preserve"> </w:t>
      </w:r>
      <w:r w:rsidR="00EE336D" w:rsidRPr="002D468A">
        <w:rPr>
          <w:color w:val="000000" w:themeColor="text1"/>
          <w:lang w:val="ro-RO"/>
        </w:rPr>
        <w:t>1.26 (</w:t>
      </w:r>
      <w:r w:rsidR="00E1140A">
        <w:rPr>
          <w:color w:val="000000" w:themeColor="text1"/>
          <w:lang w:val="ro-RO"/>
        </w:rPr>
        <w:t xml:space="preserve">în partea ce vizează </w:t>
      </w:r>
      <w:r w:rsidR="00EE336D" w:rsidRPr="002D468A">
        <w:rPr>
          <w:color w:val="000000" w:themeColor="text1"/>
          <w:lang w:val="ro-RO"/>
        </w:rPr>
        <w:t>punctul 36 subpunctul 3</w:t>
      </w:r>
      <w:r w:rsidR="00396E32" w:rsidRPr="002D468A">
        <w:rPr>
          <w:color w:val="000000" w:themeColor="text1"/>
          <w:lang w:val="ro-RO"/>
        </w:rPr>
        <w:t>)</w:t>
      </w:r>
      <w:r w:rsidR="00EE336D" w:rsidRPr="002D468A">
        <w:rPr>
          <w:color w:val="000000" w:themeColor="text1"/>
          <w:lang w:val="ro-RO"/>
        </w:rPr>
        <w:t xml:space="preserve"> din </w:t>
      </w:r>
      <w:r w:rsidR="00396E32" w:rsidRPr="002D468A">
        <w:rPr>
          <w:color w:val="000000" w:themeColor="text1"/>
          <w:lang w:val="ro-RO"/>
        </w:rPr>
        <w:t>R</w:t>
      </w:r>
      <w:r w:rsidR="00EE336D" w:rsidRPr="002D468A">
        <w:rPr>
          <w:color w:val="000000" w:themeColor="text1"/>
          <w:lang w:val="ro-RO"/>
        </w:rPr>
        <w:t xml:space="preserve">egulament), </w:t>
      </w:r>
      <w:r w:rsidR="00DA1D69" w:rsidRPr="002D468A">
        <w:rPr>
          <w:color w:val="000000" w:themeColor="text1"/>
          <w:lang w:val="ro-MD"/>
        </w:rPr>
        <w:t>care intr</w:t>
      </w:r>
      <w:r w:rsidR="008D1A76" w:rsidRPr="002D468A">
        <w:rPr>
          <w:color w:val="000000" w:themeColor="text1"/>
          <w:lang w:val="ro-MD"/>
        </w:rPr>
        <w:t>ă</w:t>
      </w:r>
      <w:r w:rsidR="00DA1D69" w:rsidRPr="002D468A">
        <w:rPr>
          <w:color w:val="000000" w:themeColor="text1"/>
          <w:lang w:val="ro-MD"/>
        </w:rPr>
        <w:t xml:space="preserve"> în vigoare la data intrării în vigoare a Tratatului de aderare a Republicii Moldova la Uniunea Europeană</w:t>
      </w:r>
      <w:r w:rsidR="00F7502D" w:rsidRPr="002D468A">
        <w:rPr>
          <w:color w:val="000000" w:themeColor="text1"/>
          <w:lang w:val="ro-MD"/>
        </w:rPr>
        <w:t>.</w:t>
      </w:r>
    </w:p>
    <w:sectPr w:rsidR="00F7502D" w:rsidRPr="002D468A" w:rsidSect="000A0A0B">
      <w:headerReference w:type="even" r:id="rId20"/>
      <w:headerReference w:type="default" r:id="rId21"/>
      <w:footerReference w:type="even" r:id="rId22"/>
      <w:footerReference w:type="default" r:id="rId23"/>
      <w:headerReference w:type="first" r:id="rId24"/>
      <w:footerReference w:type="first" r:id="rId25"/>
      <w:pgSz w:w="12240" w:h="15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37366" w14:textId="77777777" w:rsidR="00FB78D8" w:rsidRDefault="00FB78D8" w:rsidP="00D5426C">
      <w:r>
        <w:separator/>
      </w:r>
    </w:p>
  </w:endnote>
  <w:endnote w:type="continuationSeparator" w:id="0">
    <w:p w14:paraId="00CC0E72" w14:textId="77777777" w:rsidR="00FB78D8" w:rsidRDefault="00FB78D8" w:rsidP="00D54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8296549"/>
      <w:docPartObj>
        <w:docPartGallery w:val="Page Numbers (Bottom of Page)"/>
        <w:docPartUnique/>
      </w:docPartObj>
    </w:sdtPr>
    <w:sdtEndPr>
      <w:rPr>
        <w:noProof/>
      </w:rPr>
    </w:sdtEndPr>
    <w:sdtContent>
      <w:p w14:paraId="354A2770" w14:textId="6E89380C" w:rsidR="00275D6F" w:rsidRDefault="00275D6F">
        <w:pPr>
          <w:pStyle w:val="Footer"/>
          <w:jc w:val="right"/>
        </w:pPr>
        <w:r>
          <w:fldChar w:fldCharType="begin"/>
        </w:r>
        <w:r>
          <w:instrText xml:space="preserve"> PAGE   \* MERGEFORMAT </w:instrText>
        </w:r>
        <w:r>
          <w:fldChar w:fldCharType="separate"/>
        </w:r>
        <w:r>
          <w:rPr>
            <w:noProof/>
          </w:rPr>
          <w:t>16</w:t>
        </w:r>
        <w:r>
          <w:rPr>
            <w:noProof/>
          </w:rPr>
          <w:fldChar w:fldCharType="end"/>
        </w:r>
      </w:p>
    </w:sdtContent>
  </w:sdt>
  <w:p w14:paraId="78D7B4A6" w14:textId="77777777" w:rsidR="00275D6F" w:rsidRDefault="00275D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2796476"/>
      <w:docPartObj>
        <w:docPartGallery w:val="Page Numbers (Bottom of Page)"/>
        <w:docPartUnique/>
      </w:docPartObj>
    </w:sdtPr>
    <w:sdtEndPr>
      <w:rPr>
        <w:noProof/>
      </w:rPr>
    </w:sdtEndPr>
    <w:sdtContent>
      <w:p w14:paraId="235EC9EA" w14:textId="0CC9EF1B" w:rsidR="00002DD2" w:rsidRDefault="00002DD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C89F02F" w14:textId="77777777" w:rsidR="00275D6F" w:rsidRDefault="00275D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0FBF8" w14:textId="767F3900" w:rsidR="000A0A0B" w:rsidRDefault="000A0A0B" w:rsidP="000A0A0B">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A3C82" w14:textId="77777777" w:rsidR="00FB78D8" w:rsidRDefault="00FB78D8" w:rsidP="00D5426C">
      <w:r>
        <w:separator/>
      </w:r>
    </w:p>
  </w:footnote>
  <w:footnote w:type="continuationSeparator" w:id="0">
    <w:p w14:paraId="53FA7CFD" w14:textId="77777777" w:rsidR="00FB78D8" w:rsidRDefault="00FB78D8" w:rsidP="00D542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21413" w14:textId="77777777" w:rsidR="00275D6F" w:rsidRDefault="00275D6F" w:rsidP="00D5426C">
    <w:pPr>
      <w:pStyle w:val="Header"/>
      <w:jc w:val="right"/>
    </w:pPr>
    <w:bookmarkStart w:id="6" w:name="TITUS1HeaderEvenPages"/>
    <w:r>
      <w:t xml:space="preserve"> </w:t>
    </w:r>
  </w:p>
  <w:bookmarkEnd w:id="6"/>
  <w:p w14:paraId="6CE8DBD7" w14:textId="77777777" w:rsidR="00275D6F" w:rsidRDefault="00275D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6E464" w14:textId="0F910B58" w:rsidR="00275D6F" w:rsidRPr="009E7A2C" w:rsidRDefault="00275D6F" w:rsidP="002260D4">
    <w:pPr>
      <w:pStyle w:val="Header"/>
      <w:jc w:val="right"/>
      <w:rPr>
        <w:b/>
        <w:bCs/>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69090" w14:textId="6A1EEF72" w:rsidR="00275D6F" w:rsidRPr="001409D9" w:rsidRDefault="00275D6F" w:rsidP="001409D9">
    <w:pPr>
      <w:pStyle w:val="Header"/>
      <w:jc w:val="right"/>
      <w:rPr>
        <w:b/>
        <w:bCs/>
        <w:lang w:val="ro-MD"/>
      </w:rPr>
    </w:pPr>
    <w:r w:rsidRPr="001409D9">
      <w:rPr>
        <w:b/>
        <w:bCs/>
        <w:lang w:val="ro-MD"/>
      </w:rPr>
      <w:t>UE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3856"/>
    <w:multiLevelType w:val="hybridMultilevel"/>
    <w:tmpl w:val="CDD6084E"/>
    <w:lvl w:ilvl="0" w:tplc="CFB6FCFA">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 w15:restartNumberingAfterBreak="0">
    <w:nsid w:val="05C44DF6"/>
    <w:multiLevelType w:val="hybridMultilevel"/>
    <w:tmpl w:val="2A1A856E"/>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5DD2379"/>
    <w:multiLevelType w:val="hybridMultilevel"/>
    <w:tmpl w:val="13668678"/>
    <w:lvl w:ilvl="0" w:tplc="AFCCBE18">
      <w:start w:val="1"/>
      <w:numFmt w:val="decimal"/>
      <w:suff w:val="space"/>
      <w:lvlText w:val="%1)"/>
      <w:lvlJc w:val="left"/>
      <w:pPr>
        <w:ind w:left="927" w:hanging="360"/>
      </w:pPr>
      <w:rPr>
        <w:rFonts w:hint="default"/>
      </w:rPr>
    </w:lvl>
    <w:lvl w:ilvl="1" w:tplc="08180019">
      <w:start w:val="1"/>
      <w:numFmt w:val="lowerLetter"/>
      <w:lvlText w:val="%2."/>
      <w:lvlJc w:val="left"/>
      <w:pPr>
        <w:ind w:left="1647" w:hanging="360"/>
      </w:pPr>
    </w:lvl>
    <w:lvl w:ilvl="2" w:tplc="0818001B">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3" w15:restartNumberingAfterBreak="0">
    <w:nsid w:val="08555415"/>
    <w:multiLevelType w:val="hybridMultilevel"/>
    <w:tmpl w:val="50F400D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D797A20"/>
    <w:multiLevelType w:val="hybridMultilevel"/>
    <w:tmpl w:val="E00CE4DC"/>
    <w:lvl w:ilvl="0" w:tplc="DB72341E">
      <w:start w:val="1"/>
      <w:numFmt w:val="lowerLetter"/>
      <w:suff w:val="space"/>
      <w:lvlText w:val="%1)"/>
      <w:lvlJc w:val="left"/>
      <w:pPr>
        <w:ind w:left="927"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5" w15:restartNumberingAfterBreak="0">
    <w:nsid w:val="0FC647F5"/>
    <w:multiLevelType w:val="hybridMultilevel"/>
    <w:tmpl w:val="D1648806"/>
    <w:lvl w:ilvl="0" w:tplc="1D0E0618">
      <w:start w:val="1"/>
      <w:numFmt w:val="lowerLetter"/>
      <w:suff w:val="space"/>
      <w:lvlText w:val="%1)"/>
      <w:lvlJc w:val="left"/>
      <w:pPr>
        <w:ind w:left="624" w:hanging="57"/>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 w15:restartNumberingAfterBreak="0">
    <w:nsid w:val="16AE433C"/>
    <w:multiLevelType w:val="hybridMultilevel"/>
    <w:tmpl w:val="BDC011B8"/>
    <w:lvl w:ilvl="0" w:tplc="0409000F">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32100E"/>
    <w:multiLevelType w:val="hybridMultilevel"/>
    <w:tmpl w:val="84F63BB8"/>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 w15:restartNumberingAfterBreak="0">
    <w:nsid w:val="197F4B90"/>
    <w:multiLevelType w:val="hybridMultilevel"/>
    <w:tmpl w:val="2A0C7D74"/>
    <w:lvl w:ilvl="0" w:tplc="05EC9A26">
      <w:start w:val="1"/>
      <w:numFmt w:val="decimal"/>
      <w:lvlText w:val="%1)"/>
      <w:lvlJc w:val="left"/>
      <w:pPr>
        <w:ind w:left="927" w:hanging="360"/>
      </w:pPr>
      <w:rPr>
        <w:rFonts w:hint="default"/>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9" w15:restartNumberingAfterBreak="0">
    <w:nsid w:val="1ECC3B5F"/>
    <w:multiLevelType w:val="hybridMultilevel"/>
    <w:tmpl w:val="6A0CD70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3EF3816"/>
    <w:multiLevelType w:val="multilevel"/>
    <w:tmpl w:val="2162083C"/>
    <w:lvl w:ilvl="0">
      <w:start w:val="1"/>
      <w:numFmt w:val="decimal"/>
      <w:lvlText w:val="%1."/>
      <w:lvlJc w:val="center"/>
      <w:pPr>
        <w:ind w:left="227" w:firstLine="62"/>
      </w:pPr>
      <w:rPr>
        <w:rFonts w:hint="default"/>
        <w:b/>
        <w:bCs/>
      </w:rPr>
    </w:lvl>
    <w:lvl w:ilvl="1">
      <w:start w:val="1"/>
      <w:numFmt w:val="decimal"/>
      <w:suff w:val="space"/>
      <w:lvlText w:val="%1.%2."/>
      <w:lvlJc w:val="center"/>
      <w:pPr>
        <w:ind w:left="227" w:firstLine="62"/>
      </w:pPr>
      <w:rPr>
        <w:rFonts w:hint="default"/>
        <w:b/>
        <w:bCs/>
      </w:rPr>
    </w:lvl>
    <w:lvl w:ilvl="2">
      <w:start w:val="1"/>
      <w:numFmt w:val="decimal"/>
      <w:suff w:val="space"/>
      <w:lvlText w:val="%1.%2.%3."/>
      <w:lvlJc w:val="left"/>
      <w:pPr>
        <w:ind w:left="227" w:firstLine="62"/>
      </w:pPr>
      <w:rPr>
        <w:rFonts w:hint="default"/>
        <w:b/>
        <w:bCs/>
      </w:rPr>
    </w:lvl>
    <w:lvl w:ilvl="3">
      <w:start w:val="1"/>
      <w:numFmt w:val="decimal"/>
      <w:lvlText w:val="%1.%2.%3.%4."/>
      <w:lvlJc w:val="left"/>
      <w:pPr>
        <w:ind w:left="227" w:firstLine="62"/>
      </w:pPr>
      <w:rPr>
        <w:rFonts w:hint="default"/>
      </w:rPr>
    </w:lvl>
    <w:lvl w:ilvl="4">
      <w:start w:val="1"/>
      <w:numFmt w:val="decimal"/>
      <w:lvlText w:val="%1.%2.%3.%4.%5."/>
      <w:lvlJc w:val="left"/>
      <w:pPr>
        <w:ind w:left="227" w:firstLine="62"/>
      </w:pPr>
      <w:rPr>
        <w:rFonts w:hint="default"/>
      </w:rPr>
    </w:lvl>
    <w:lvl w:ilvl="5">
      <w:start w:val="1"/>
      <w:numFmt w:val="decimal"/>
      <w:lvlText w:val="%1.%2.%3.%4.%5.%6."/>
      <w:lvlJc w:val="left"/>
      <w:pPr>
        <w:ind w:left="227" w:firstLine="62"/>
      </w:pPr>
      <w:rPr>
        <w:rFonts w:hint="default"/>
      </w:rPr>
    </w:lvl>
    <w:lvl w:ilvl="6">
      <w:start w:val="1"/>
      <w:numFmt w:val="decimal"/>
      <w:lvlText w:val="%1.%2.%3.%4.%5.%6.%7."/>
      <w:lvlJc w:val="left"/>
      <w:pPr>
        <w:ind w:left="227" w:firstLine="62"/>
      </w:pPr>
      <w:rPr>
        <w:rFonts w:hint="default"/>
      </w:rPr>
    </w:lvl>
    <w:lvl w:ilvl="7">
      <w:start w:val="1"/>
      <w:numFmt w:val="decimal"/>
      <w:lvlText w:val="%1.%2.%3.%4.%5.%6.%7.%8."/>
      <w:lvlJc w:val="left"/>
      <w:pPr>
        <w:ind w:left="227" w:firstLine="62"/>
      </w:pPr>
      <w:rPr>
        <w:rFonts w:hint="default"/>
      </w:rPr>
    </w:lvl>
    <w:lvl w:ilvl="8">
      <w:start w:val="1"/>
      <w:numFmt w:val="decimal"/>
      <w:lvlText w:val="%1.%2.%3.%4.%5.%6.%7.%8.%9."/>
      <w:lvlJc w:val="left"/>
      <w:pPr>
        <w:ind w:left="227" w:firstLine="62"/>
      </w:pPr>
      <w:rPr>
        <w:rFonts w:hint="default"/>
      </w:rPr>
    </w:lvl>
  </w:abstractNum>
  <w:abstractNum w:abstractNumId="11" w15:restartNumberingAfterBreak="0">
    <w:nsid w:val="29A9627F"/>
    <w:multiLevelType w:val="hybridMultilevel"/>
    <w:tmpl w:val="204ED19C"/>
    <w:lvl w:ilvl="0" w:tplc="B79A1572">
      <w:start w:val="1"/>
      <w:numFmt w:val="decimal"/>
      <w:lvlText w:val="%1)"/>
      <w:lvlJc w:val="left"/>
      <w:pPr>
        <w:ind w:left="930" w:hanging="57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2" w15:restartNumberingAfterBreak="0">
    <w:nsid w:val="2C8C2FAF"/>
    <w:multiLevelType w:val="multilevel"/>
    <w:tmpl w:val="08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2A3796"/>
    <w:multiLevelType w:val="multilevel"/>
    <w:tmpl w:val="08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F87A30"/>
    <w:multiLevelType w:val="multilevel"/>
    <w:tmpl w:val="08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7345D8B"/>
    <w:multiLevelType w:val="multilevel"/>
    <w:tmpl w:val="24ECC6FC"/>
    <w:lvl w:ilvl="0">
      <w:start w:val="1"/>
      <w:numFmt w:val="decimal"/>
      <w:lvlText w:val="%1."/>
      <w:lvlJc w:val="center"/>
      <w:pPr>
        <w:ind w:left="227" w:firstLine="62"/>
      </w:pPr>
      <w:rPr>
        <w:rFonts w:hint="default"/>
        <w:b/>
        <w:bCs/>
      </w:rPr>
    </w:lvl>
    <w:lvl w:ilvl="1">
      <w:start w:val="1"/>
      <w:numFmt w:val="decimal"/>
      <w:suff w:val="space"/>
      <w:lvlText w:val="%1.%2."/>
      <w:lvlJc w:val="left"/>
      <w:pPr>
        <w:ind w:left="227" w:firstLine="62"/>
      </w:pPr>
      <w:rPr>
        <w:rFonts w:hint="default"/>
        <w:b/>
        <w:bCs/>
      </w:rPr>
    </w:lvl>
    <w:lvl w:ilvl="2">
      <w:start w:val="1"/>
      <w:numFmt w:val="decimal"/>
      <w:suff w:val="space"/>
      <w:lvlText w:val="%1.%2.%3."/>
      <w:lvlJc w:val="left"/>
      <w:pPr>
        <w:ind w:left="227" w:firstLine="62"/>
      </w:pPr>
      <w:rPr>
        <w:rFonts w:hint="default"/>
        <w:b/>
        <w:bCs/>
      </w:rPr>
    </w:lvl>
    <w:lvl w:ilvl="3">
      <w:start w:val="1"/>
      <w:numFmt w:val="decimal"/>
      <w:lvlText w:val="%1.%2.%3.%4."/>
      <w:lvlJc w:val="left"/>
      <w:pPr>
        <w:ind w:left="227" w:firstLine="62"/>
      </w:pPr>
      <w:rPr>
        <w:rFonts w:hint="default"/>
      </w:rPr>
    </w:lvl>
    <w:lvl w:ilvl="4">
      <w:start w:val="1"/>
      <w:numFmt w:val="decimal"/>
      <w:lvlText w:val="%1.%2.%3.%4.%5."/>
      <w:lvlJc w:val="left"/>
      <w:pPr>
        <w:ind w:left="227" w:firstLine="62"/>
      </w:pPr>
      <w:rPr>
        <w:rFonts w:hint="default"/>
      </w:rPr>
    </w:lvl>
    <w:lvl w:ilvl="5">
      <w:start w:val="1"/>
      <w:numFmt w:val="decimal"/>
      <w:lvlText w:val="%1.%2.%3.%4.%5.%6."/>
      <w:lvlJc w:val="left"/>
      <w:pPr>
        <w:ind w:left="227" w:firstLine="62"/>
      </w:pPr>
      <w:rPr>
        <w:rFonts w:hint="default"/>
      </w:rPr>
    </w:lvl>
    <w:lvl w:ilvl="6">
      <w:start w:val="1"/>
      <w:numFmt w:val="decimal"/>
      <w:lvlText w:val="%1.%2.%3.%4.%5.%6.%7."/>
      <w:lvlJc w:val="left"/>
      <w:pPr>
        <w:ind w:left="227" w:firstLine="62"/>
      </w:pPr>
      <w:rPr>
        <w:rFonts w:hint="default"/>
      </w:rPr>
    </w:lvl>
    <w:lvl w:ilvl="7">
      <w:start w:val="1"/>
      <w:numFmt w:val="decimal"/>
      <w:lvlText w:val="%1.%2.%3.%4.%5.%6.%7.%8."/>
      <w:lvlJc w:val="left"/>
      <w:pPr>
        <w:ind w:left="227" w:firstLine="62"/>
      </w:pPr>
      <w:rPr>
        <w:rFonts w:hint="default"/>
      </w:rPr>
    </w:lvl>
    <w:lvl w:ilvl="8">
      <w:start w:val="1"/>
      <w:numFmt w:val="decimal"/>
      <w:lvlText w:val="%1.%2.%3.%4.%5.%6.%7.%8.%9."/>
      <w:lvlJc w:val="left"/>
      <w:pPr>
        <w:ind w:left="227" w:firstLine="62"/>
      </w:pPr>
      <w:rPr>
        <w:rFonts w:hint="default"/>
      </w:rPr>
    </w:lvl>
  </w:abstractNum>
  <w:abstractNum w:abstractNumId="16" w15:restartNumberingAfterBreak="0">
    <w:nsid w:val="47677FFE"/>
    <w:multiLevelType w:val="hybridMultilevel"/>
    <w:tmpl w:val="6E8C7AF8"/>
    <w:lvl w:ilvl="0" w:tplc="25C0C0DC">
      <w:start w:val="1"/>
      <w:numFmt w:val="decimal"/>
      <w:lvlText w:val="%1."/>
      <w:lvlJc w:val="left"/>
      <w:pPr>
        <w:ind w:left="927" w:hanging="360"/>
      </w:pPr>
    </w:lvl>
    <w:lvl w:ilvl="1" w:tplc="04090011">
      <w:start w:val="1"/>
      <w:numFmt w:val="decimal"/>
      <w:lvlText w:val="%2)"/>
      <w:lvlJc w:val="left"/>
      <w:pPr>
        <w:ind w:left="1647" w:hanging="360"/>
      </w:pPr>
      <w:rPr>
        <w:rFonts w:hint="default"/>
      </w:rPr>
    </w:lvl>
    <w:lvl w:ilvl="2" w:tplc="04090017">
      <w:start w:val="1"/>
      <w:numFmt w:val="lowerLetter"/>
      <w:lvlText w:val="%3)"/>
      <w:lvlJc w:val="lef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7" w15:restartNumberingAfterBreak="0">
    <w:nsid w:val="494F10D0"/>
    <w:multiLevelType w:val="hybridMultilevel"/>
    <w:tmpl w:val="8F02AD78"/>
    <w:lvl w:ilvl="0" w:tplc="51B87F0C">
      <w:start w:val="1"/>
      <w:numFmt w:val="decimal"/>
      <w:suff w:val="space"/>
      <w:lvlText w:val="%1)"/>
      <w:lvlJc w:val="left"/>
      <w:pPr>
        <w:ind w:left="927"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8" w15:restartNumberingAfterBreak="0">
    <w:nsid w:val="4E6C3E24"/>
    <w:multiLevelType w:val="hybridMultilevel"/>
    <w:tmpl w:val="B2EC79A2"/>
    <w:lvl w:ilvl="0" w:tplc="4F200734">
      <w:start w:val="2"/>
      <w:numFmt w:val="bullet"/>
      <w:lvlText w:val="-"/>
      <w:lvlJc w:val="left"/>
      <w:pPr>
        <w:ind w:left="720" w:hanging="360"/>
      </w:pPr>
      <w:rPr>
        <w:rFonts w:ascii="Times New Roman" w:eastAsia="Times New Roman"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9" w15:restartNumberingAfterBreak="0">
    <w:nsid w:val="4FDC6A52"/>
    <w:multiLevelType w:val="hybridMultilevel"/>
    <w:tmpl w:val="7B06F0D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0C73B74"/>
    <w:multiLevelType w:val="multilevel"/>
    <w:tmpl w:val="24ECC6FC"/>
    <w:lvl w:ilvl="0">
      <w:start w:val="1"/>
      <w:numFmt w:val="decimal"/>
      <w:lvlText w:val="%1."/>
      <w:lvlJc w:val="center"/>
      <w:pPr>
        <w:ind w:left="222" w:firstLine="62"/>
      </w:pPr>
      <w:rPr>
        <w:rFonts w:hint="default"/>
        <w:b/>
        <w:bCs/>
      </w:rPr>
    </w:lvl>
    <w:lvl w:ilvl="1">
      <w:start w:val="1"/>
      <w:numFmt w:val="decimal"/>
      <w:suff w:val="space"/>
      <w:lvlText w:val="%1.%2."/>
      <w:lvlJc w:val="left"/>
      <w:pPr>
        <w:ind w:left="789" w:firstLine="62"/>
      </w:pPr>
      <w:rPr>
        <w:rFonts w:hint="default"/>
        <w:b/>
        <w:bCs/>
      </w:rPr>
    </w:lvl>
    <w:lvl w:ilvl="2">
      <w:start w:val="1"/>
      <w:numFmt w:val="decimal"/>
      <w:suff w:val="space"/>
      <w:lvlText w:val="%1.%2.%3."/>
      <w:lvlJc w:val="left"/>
      <w:pPr>
        <w:ind w:left="364" w:firstLine="62"/>
      </w:pPr>
      <w:rPr>
        <w:rFonts w:hint="default"/>
        <w:b/>
        <w:bCs/>
      </w:rPr>
    </w:lvl>
    <w:lvl w:ilvl="3">
      <w:start w:val="1"/>
      <w:numFmt w:val="decimal"/>
      <w:lvlText w:val="%1.%2.%3.%4."/>
      <w:lvlJc w:val="left"/>
      <w:pPr>
        <w:ind w:left="227" w:firstLine="62"/>
      </w:pPr>
      <w:rPr>
        <w:rFonts w:hint="default"/>
      </w:rPr>
    </w:lvl>
    <w:lvl w:ilvl="4">
      <w:start w:val="1"/>
      <w:numFmt w:val="decimal"/>
      <w:lvlText w:val="%1.%2.%3.%4.%5."/>
      <w:lvlJc w:val="left"/>
      <w:pPr>
        <w:ind w:left="227" w:firstLine="62"/>
      </w:pPr>
      <w:rPr>
        <w:rFonts w:hint="default"/>
      </w:rPr>
    </w:lvl>
    <w:lvl w:ilvl="5">
      <w:start w:val="1"/>
      <w:numFmt w:val="decimal"/>
      <w:lvlText w:val="%1.%2.%3.%4.%5.%6."/>
      <w:lvlJc w:val="left"/>
      <w:pPr>
        <w:ind w:left="227" w:firstLine="62"/>
      </w:pPr>
      <w:rPr>
        <w:rFonts w:hint="default"/>
      </w:rPr>
    </w:lvl>
    <w:lvl w:ilvl="6">
      <w:start w:val="1"/>
      <w:numFmt w:val="decimal"/>
      <w:lvlText w:val="%1.%2.%3.%4.%5.%6.%7."/>
      <w:lvlJc w:val="left"/>
      <w:pPr>
        <w:ind w:left="227" w:firstLine="62"/>
      </w:pPr>
      <w:rPr>
        <w:rFonts w:hint="default"/>
      </w:rPr>
    </w:lvl>
    <w:lvl w:ilvl="7">
      <w:start w:val="1"/>
      <w:numFmt w:val="decimal"/>
      <w:lvlText w:val="%1.%2.%3.%4.%5.%6.%7.%8."/>
      <w:lvlJc w:val="left"/>
      <w:pPr>
        <w:ind w:left="227" w:firstLine="62"/>
      </w:pPr>
      <w:rPr>
        <w:rFonts w:hint="default"/>
      </w:rPr>
    </w:lvl>
    <w:lvl w:ilvl="8">
      <w:start w:val="1"/>
      <w:numFmt w:val="decimal"/>
      <w:lvlText w:val="%1.%2.%3.%4.%5.%6.%7.%8.%9."/>
      <w:lvlJc w:val="left"/>
      <w:pPr>
        <w:ind w:left="227" w:firstLine="62"/>
      </w:pPr>
      <w:rPr>
        <w:rFonts w:hint="default"/>
      </w:rPr>
    </w:lvl>
  </w:abstractNum>
  <w:abstractNum w:abstractNumId="21" w15:restartNumberingAfterBreak="0">
    <w:nsid w:val="50EA5FC0"/>
    <w:multiLevelType w:val="hybridMultilevel"/>
    <w:tmpl w:val="259635A4"/>
    <w:lvl w:ilvl="0" w:tplc="04090017">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11">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22" w15:restartNumberingAfterBreak="0">
    <w:nsid w:val="57437AC9"/>
    <w:multiLevelType w:val="hybridMultilevel"/>
    <w:tmpl w:val="A30A2F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D10ED48">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9D32EED"/>
    <w:multiLevelType w:val="multilevel"/>
    <w:tmpl w:val="08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B243410"/>
    <w:multiLevelType w:val="hybridMultilevel"/>
    <w:tmpl w:val="0F7C7138"/>
    <w:lvl w:ilvl="0" w:tplc="04090017">
      <w:start w:val="1"/>
      <w:numFmt w:val="lowerLetter"/>
      <w:lvlText w:val="%1)"/>
      <w:lvlJc w:val="left"/>
      <w:pPr>
        <w:ind w:left="1004" w:hanging="360"/>
      </w:pPr>
    </w:lvl>
    <w:lvl w:ilvl="1" w:tplc="04090017">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25" w15:restartNumberingAfterBreak="0">
    <w:nsid w:val="5C223B6F"/>
    <w:multiLevelType w:val="hybridMultilevel"/>
    <w:tmpl w:val="F1F87536"/>
    <w:lvl w:ilvl="0" w:tplc="945AA9C8">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6" w15:restartNumberingAfterBreak="0">
    <w:nsid w:val="5D5D7E50"/>
    <w:multiLevelType w:val="hybridMultilevel"/>
    <w:tmpl w:val="C8A4B8FC"/>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7" w15:restartNumberingAfterBreak="0">
    <w:nsid w:val="604F0722"/>
    <w:multiLevelType w:val="hybridMultilevel"/>
    <w:tmpl w:val="80EEA6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D71D00"/>
    <w:multiLevelType w:val="hybridMultilevel"/>
    <w:tmpl w:val="08388B66"/>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9" w15:restartNumberingAfterBreak="0">
    <w:nsid w:val="64F00F54"/>
    <w:multiLevelType w:val="hybridMultilevel"/>
    <w:tmpl w:val="83586B0C"/>
    <w:lvl w:ilvl="0" w:tplc="04090017">
      <w:start w:val="1"/>
      <w:numFmt w:val="lowerLetter"/>
      <w:lvlText w:val="%1)"/>
      <w:lvlJc w:val="left"/>
      <w:pPr>
        <w:ind w:left="1004" w:hanging="360"/>
      </w:pPr>
    </w:lvl>
    <w:lvl w:ilvl="1" w:tplc="04090017">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30" w15:restartNumberingAfterBreak="0">
    <w:nsid w:val="655B2A31"/>
    <w:multiLevelType w:val="hybridMultilevel"/>
    <w:tmpl w:val="E5685540"/>
    <w:lvl w:ilvl="0" w:tplc="D05E3B64">
      <w:start w:val="1"/>
      <w:numFmt w:val="decimal"/>
      <w:suff w:val="space"/>
      <w:lvlText w:val="%1."/>
      <w:lvlJc w:val="left"/>
      <w:pPr>
        <w:ind w:left="927" w:hanging="360"/>
      </w:pPr>
      <w:rPr>
        <w:rFonts w:hint="default"/>
        <w:b/>
        <w:bCs/>
        <w:strike w:val="0"/>
      </w:rPr>
    </w:lvl>
    <w:lvl w:ilvl="1" w:tplc="C4929C02">
      <w:start w:val="1"/>
      <w:numFmt w:val="decimal"/>
      <w:lvlText w:val="%2)"/>
      <w:lvlJc w:val="left"/>
      <w:pPr>
        <w:ind w:left="1647" w:hanging="360"/>
      </w:pPr>
      <w:rPr>
        <w:b/>
        <w:bCs/>
      </w:rPr>
    </w:lvl>
    <w:lvl w:ilvl="2" w:tplc="04090017">
      <w:start w:val="1"/>
      <w:numFmt w:val="lowerLetter"/>
      <w:lvlText w:val="%3)"/>
      <w:lvlJc w:val="lef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1" w15:restartNumberingAfterBreak="0">
    <w:nsid w:val="670B6DC6"/>
    <w:multiLevelType w:val="multilevel"/>
    <w:tmpl w:val="08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7CE1EE7"/>
    <w:multiLevelType w:val="hybridMultilevel"/>
    <w:tmpl w:val="859402F6"/>
    <w:lvl w:ilvl="0" w:tplc="89CAA89A">
      <w:start w:val="1"/>
      <w:numFmt w:val="decimal"/>
      <w:lvlText w:val="%1."/>
      <w:lvlJc w:val="left"/>
      <w:pPr>
        <w:ind w:left="1710" w:hanging="360"/>
      </w:pPr>
      <w:rPr>
        <w:color w:val="auto"/>
      </w:rPr>
    </w:lvl>
    <w:lvl w:ilvl="1" w:tplc="04090011">
      <w:start w:val="1"/>
      <w:numFmt w:val="decimal"/>
      <w:lvlText w:val="%2)"/>
      <w:lvlJc w:val="left"/>
      <w:pPr>
        <w:ind w:left="1069" w:hanging="360"/>
      </w:pPr>
    </w:lvl>
    <w:lvl w:ilvl="2" w:tplc="04090017">
      <w:start w:val="1"/>
      <w:numFmt w:val="lowerLetter"/>
      <w:lvlText w:val="%3)"/>
      <w:lvlJc w:val="left"/>
      <w:pPr>
        <w:ind w:left="2160" w:hanging="180"/>
      </w:pPr>
    </w:lvl>
    <w:lvl w:ilvl="3" w:tplc="149A964C">
      <w:start w:val="1"/>
      <w:numFmt w:val="lowerLetter"/>
      <w:lvlText w:val="(%4)"/>
      <w:lvlJc w:val="left"/>
      <w:pPr>
        <w:ind w:left="2880" w:hanging="360"/>
      </w:pPr>
    </w:lvl>
    <w:lvl w:ilvl="4" w:tplc="0409000F">
      <w:start w:val="1"/>
      <w:numFmt w:val="decimal"/>
      <w:lvlText w:val="%5."/>
      <w:lvlJc w:val="left"/>
      <w:pPr>
        <w:ind w:left="3600" w:hanging="360"/>
      </w:pPr>
    </w:lvl>
    <w:lvl w:ilvl="5" w:tplc="0409000F">
      <w:start w:val="1"/>
      <w:numFmt w:val="decimal"/>
      <w:lvlText w:val="%6."/>
      <w:lvlJc w:val="left"/>
      <w:pPr>
        <w:ind w:left="4545" w:hanging="405"/>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2F15145"/>
    <w:multiLevelType w:val="hybridMultilevel"/>
    <w:tmpl w:val="D22C9F6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7B2D4103"/>
    <w:multiLevelType w:val="hybridMultilevel"/>
    <w:tmpl w:val="8F8ED832"/>
    <w:lvl w:ilvl="0" w:tplc="E79E5CC8">
      <w:start w:val="1"/>
      <w:numFmt w:val="decimal"/>
      <w:lvlText w:val="%1)"/>
      <w:lvlJc w:val="left"/>
      <w:pPr>
        <w:ind w:left="16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355859"/>
    <w:multiLevelType w:val="hybridMultilevel"/>
    <w:tmpl w:val="F3127DE4"/>
    <w:lvl w:ilvl="0" w:tplc="04090017">
      <w:start w:val="1"/>
      <w:numFmt w:val="lowerLetter"/>
      <w:lvlText w:val="%1)"/>
      <w:lvlJc w:val="left"/>
      <w:pPr>
        <w:ind w:left="769" w:hanging="360"/>
      </w:pPr>
    </w:lvl>
    <w:lvl w:ilvl="1" w:tplc="04090019">
      <w:start w:val="1"/>
      <w:numFmt w:val="lowerLetter"/>
      <w:lvlText w:val="%2."/>
      <w:lvlJc w:val="left"/>
      <w:pPr>
        <w:ind w:left="1489" w:hanging="360"/>
      </w:pPr>
    </w:lvl>
    <w:lvl w:ilvl="2" w:tplc="0409001B">
      <w:start w:val="1"/>
      <w:numFmt w:val="lowerRoman"/>
      <w:lvlText w:val="%3."/>
      <w:lvlJc w:val="right"/>
      <w:pPr>
        <w:ind w:left="2209" w:hanging="180"/>
      </w:pPr>
    </w:lvl>
    <w:lvl w:ilvl="3" w:tplc="04090011">
      <w:start w:val="1"/>
      <w:numFmt w:val="decimal"/>
      <w:lvlText w:val="%4)"/>
      <w:lvlJc w:val="left"/>
      <w:pPr>
        <w:ind w:left="2929" w:hanging="360"/>
      </w:pPr>
    </w:lvl>
    <w:lvl w:ilvl="4" w:tplc="04090019">
      <w:start w:val="1"/>
      <w:numFmt w:val="lowerLetter"/>
      <w:lvlText w:val="%5."/>
      <w:lvlJc w:val="left"/>
      <w:pPr>
        <w:ind w:left="3649" w:hanging="360"/>
      </w:pPr>
    </w:lvl>
    <w:lvl w:ilvl="5" w:tplc="0409001B">
      <w:start w:val="1"/>
      <w:numFmt w:val="lowerRoman"/>
      <w:lvlText w:val="%6."/>
      <w:lvlJc w:val="right"/>
      <w:pPr>
        <w:ind w:left="4369" w:hanging="180"/>
      </w:pPr>
    </w:lvl>
    <w:lvl w:ilvl="6" w:tplc="0409000F">
      <w:start w:val="1"/>
      <w:numFmt w:val="decimal"/>
      <w:lvlText w:val="%7."/>
      <w:lvlJc w:val="left"/>
      <w:pPr>
        <w:ind w:left="5089" w:hanging="360"/>
      </w:pPr>
    </w:lvl>
    <w:lvl w:ilvl="7" w:tplc="04090019">
      <w:start w:val="1"/>
      <w:numFmt w:val="lowerLetter"/>
      <w:lvlText w:val="%8."/>
      <w:lvlJc w:val="left"/>
      <w:pPr>
        <w:ind w:left="5809" w:hanging="360"/>
      </w:pPr>
    </w:lvl>
    <w:lvl w:ilvl="8" w:tplc="0409001B">
      <w:start w:val="1"/>
      <w:numFmt w:val="lowerRoman"/>
      <w:lvlText w:val="%9."/>
      <w:lvlJc w:val="right"/>
      <w:pPr>
        <w:ind w:left="6529" w:hanging="180"/>
      </w:pPr>
    </w:lvl>
  </w:abstractNum>
  <w:abstractNum w:abstractNumId="36" w15:restartNumberingAfterBreak="0">
    <w:nsid w:val="7FF07002"/>
    <w:multiLevelType w:val="multilevel"/>
    <w:tmpl w:val="2162083C"/>
    <w:lvl w:ilvl="0">
      <w:start w:val="1"/>
      <w:numFmt w:val="decimal"/>
      <w:lvlText w:val="%1."/>
      <w:lvlJc w:val="center"/>
      <w:pPr>
        <w:ind w:left="227" w:firstLine="62"/>
      </w:pPr>
      <w:rPr>
        <w:rFonts w:hint="default"/>
        <w:b/>
        <w:bCs/>
      </w:rPr>
    </w:lvl>
    <w:lvl w:ilvl="1">
      <w:start w:val="1"/>
      <w:numFmt w:val="decimal"/>
      <w:suff w:val="space"/>
      <w:lvlText w:val="%1.%2."/>
      <w:lvlJc w:val="center"/>
      <w:pPr>
        <w:ind w:left="227" w:firstLine="62"/>
      </w:pPr>
      <w:rPr>
        <w:rFonts w:hint="default"/>
        <w:b/>
        <w:bCs/>
      </w:rPr>
    </w:lvl>
    <w:lvl w:ilvl="2">
      <w:start w:val="1"/>
      <w:numFmt w:val="decimal"/>
      <w:suff w:val="space"/>
      <w:lvlText w:val="%1.%2.%3."/>
      <w:lvlJc w:val="left"/>
      <w:pPr>
        <w:ind w:left="227" w:firstLine="62"/>
      </w:pPr>
      <w:rPr>
        <w:rFonts w:hint="default"/>
        <w:b/>
        <w:bCs/>
      </w:rPr>
    </w:lvl>
    <w:lvl w:ilvl="3">
      <w:start w:val="1"/>
      <w:numFmt w:val="decimal"/>
      <w:lvlText w:val="%1.%2.%3.%4."/>
      <w:lvlJc w:val="left"/>
      <w:pPr>
        <w:ind w:left="227" w:firstLine="62"/>
      </w:pPr>
      <w:rPr>
        <w:rFonts w:hint="default"/>
      </w:rPr>
    </w:lvl>
    <w:lvl w:ilvl="4">
      <w:start w:val="1"/>
      <w:numFmt w:val="decimal"/>
      <w:lvlText w:val="%1.%2.%3.%4.%5."/>
      <w:lvlJc w:val="left"/>
      <w:pPr>
        <w:ind w:left="227" w:firstLine="62"/>
      </w:pPr>
      <w:rPr>
        <w:rFonts w:hint="default"/>
      </w:rPr>
    </w:lvl>
    <w:lvl w:ilvl="5">
      <w:start w:val="1"/>
      <w:numFmt w:val="decimal"/>
      <w:lvlText w:val="%1.%2.%3.%4.%5.%6."/>
      <w:lvlJc w:val="left"/>
      <w:pPr>
        <w:ind w:left="227" w:firstLine="62"/>
      </w:pPr>
      <w:rPr>
        <w:rFonts w:hint="default"/>
      </w:rPr>
    </w:lvl>
    <w:lvl w:ilvl="6">
      <w:start w:val="1"/>
      <w:numFmt w:val="decimal"/>
      <w:lvlText w:val="%1.%2.%3.%4.%5.%6.%7."/>
      <w:lvlJc w:val="left"/>
      <w:pPr>
        <w:ind w:left="227" w:firstLine="62"/>
      </w:pPr>
      <w:rPr>
        <w:rFonts w:hint="default"/>
      </w:rPr>
    </w:lvl>
    <w:lvl w:ilvl="7">
      <w:start w:val="1"/>
      <w:numFmt w:val="decimal"/>
      <w:lvlText w:val="%1.%2.%3.%4.%5.%6.%7.%8."/>
      <w:lvlJc w:val="left"/>
      <w:pPr>
        <w:ind w:left="227" w:firstLine="62"/>
      </w:pPr>
      <w:rPr>
        <w:rFonts w:hint="default"/>
      </w:rPr>
    </w:lvl>
    <w:lvl w:ilvl="8">
      <w:start w:val="1"/>
      <w:numFmt w:val="decimal"/>
      <w:lvlText w:val="%1.%2.%3.%4.%5.%6.%7.%8.%9."/>
      <w:lvlJc w:val="left"/>
      <w:pPr>
        <w:ind w:left="227" w:firstLine="62"/>
      </w:pPr>
      <w:rPr>
        <w:rFonts w:hint="default"/>
      </w:rPr>
    </w:lvl>
  </w:abstractNum>
  <w:num w:numId="1" w16cid:durableId="11009526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65544632">
    <w:abstractNumId w:val="22"/>
  </w:num>
  <w:num w:numId="3" w16cid:durableId="7412919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64295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91068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68694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305534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233674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562888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06503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3615139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8562777">
    <w:abstractNumId w:val="30"/>
  </w:num>
  <w:num w:numId="13" w16cid:durableId="1370764555">
    <w:abstractNumId w:val="1"/>
  </w:num>
  <w:num w:numId="14" w16cid:durableId="140847304">
    <w:abstractNumId w:val="3"/>
  </w:num>
  <w:num w:numId="15" w16cid:durableId="2118869199">
    <w:abstractNumId w:val="16"/>
  </w:num>
  <w:num w:numId="16" w16cid:durableId="1236402705">
    <w:abstractNumId w:val="6"/>
  </w:num>
  <w:num w:numId="17" w16cid:durableId="595210150">
    <w:abstractNumId w:val="34"/>
  </w:num>
  <w:num w:numId="18" w16cid:durableId="1710298874">
    <w:abstractNumId w:val="27"/>
  </w:num>
  <w:num w:numId="19" w16cid:durableId="547568932">
    <w:abstractNumId w:val="7"/>
  </w:num>
  <w:num w:numId="20" w16cid:durableId="1677152211">
    <w:abstractNumId w:val="0"/>
  </w:num>
  <w:num w:numId="21" w16cid:durableId="1915623828">
    <w:abstractNumId w:val="4"/>
  </w:num>
  <w:num w:numId="22" w16cid:durableId="283539057">
    <w:abstractNumId w:val="17"/>
  </w:num>
  <w:num w:numId="23" w16cid:durableId="1503735004">
    <w:abstractNumId w:val="28"/>
  </w:num>
  <w:num w:numId="24" w16cid:durableId="556627740">
    <w:abstractNumId w:val="26"/>
  </w:num>
  <w:num w:numId="25" w16cid:durableId="1084183317">
    <w:abstractNumId w:val="18"/>
  </w:num>
  <w:num w:numId="26" w16cid:durableId="1341809678">
    <w:abstractNumId w:val="5"/>
  </w:num>
  <w:num w:numId="27" w16cid:durableId="1062093486">
    <w:abstractNumId w:val="20"/>
  </w:num>
  <w:num w:numId="28" w16cid:durableId="1351371882">
    <w:abstractNumId w:val="25"/>
  </w:num>
  <w:num w:numId="29" w16cid:durableId="563100354">
    <w:abstractNumId w:val="11"/>
  </w:num>
  <w:num w:numId="30" w16cid:durableId="2060282042">
    <w:abstractNumId w:val="8"/>
  </w:num>
  <w:num w:numId="31" w16cid:durableId="412700447">
    <w:abstractNumId w:val="2"/>
  </w:num>
  <w:num w:numId="32" w16cid:durableId="1700861896">
    <w:abstractNumId w:val="10"/>
  </w:num>
  <w:num w:numId="33" w16cid:durableId="2061980253">
    <w:abstractNumId w:val="36"/>
  </w:num>
  <w:num w:numId="34" w16cid:durableId="469136039">
    <w:abstractNumId w:val="14"/>
  </w:num>
  <w:num w:numId="35" w16cid:durableId="625627603">
    <w:abstractNumId w:val="23"/>
  </w:num>
  <w:num w:numId="36" w16cid:durableId="1793162598">
    <w:abstractNumId w:val="15"/>
  </w:num>
  <w:num w:numId="37" w16cid:durableId="554007267">
    <w:abstractNumId w:val="13"/>
  </w:num>
  <w:num w:numId="38" w16cid:durableId="1871911474">
    <w:abstractNumId w:val="12"/>
  </w:num>
  <w:num w:numId="39" w16cid:durableId="206027901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CD1"/>
    <w:rsid w:val="00000563"/>
    <w:rsid w:val="000008D0"/>
    <w:rsid w:val="00000A1E"/>
    <w:rsid w:val="00002DD2"/>
    <w:rsid w:val="00004C9C"/>
    <w:rsid w:val="00004E08"/>
    <w:rsid w:val="00005CC0"/>
    <w:rsid w:val="000062E8"/>
    <w:rsid w:val="0000731F"/>
    <w:rsid w:val="000100B5"/>
    <w:rsid w:val="00010541"/>
    <w:rsid w:val="00012136"/>
    <w:rsid w:val="00013153"/>
    <w:rsid w:val="00015315"/>
    <w:rsid w:val="0001535B"/>
    <w:rsid w:val="00015A00"/>
    <w:rsid w:val="00015F9E"/>
    <w:rsid w:val="00016213"/>
    <w:rsid w:val="0001648A"/>
    <w:rsid w:val="00016FD7"/>
    <w:rsid w:val="000202E2"/>
    <w:rsid w:val="00022040"/>
    <w:rsid w:val="00022961"/>
    <w:rsid w:val="00024254"/>
    <w:rsid w:val="0002449C"/>
    <w:rsid w:val="00024745"/>
    <w:rsid w:val="00024D44"/>
    <w:rsid w:val="000271BA"/>
    <w:rsid w:val="00031C90"/>
    <w:rsid w:val="0003245D"/>
    <w:rsid w:val="00033BE2"/>
    <w:rsid w:val="0003402E"/>
    <w:rsid w:val="000340B6"/>
    <w:rsid w:val="00034D45"/>
    <w:rsid w:val="00034ECD"/>
    <w:rsid w:val="000363F6"/>
    <w:rsid w:val="000365C1"/>
    <w:rsid w:val="00036A2E"/>
    <w:rsid w:val="000374C5"/>
    <w:rsid w:val="00040571"/>
    <w:rsid w:val="00040F36"/>
    <w:rsid w:val="000415C8"/>
    <w:rsid w:val="00041B25"/>
    <w:rsid w:val="00042580"/>
    <w:rsid w:val="00042943"/>
    <w:rsid w:val="00042EFC"/>
    <w:rsid w:val="00043F32"/>
    <w:rsid w:val="00046430"/>
    <w:rsid w:val="000465A3"/>
    <w:rsid w:val="00046928"/>
    <w:rsid w:val="000469AC"/>
    <w:rsid w:val="0004725A"/>
    <w:rsid w:val="000477DB"/>
    <w:rsid w:val="000505D9"/>
    <w:rsid w:val="00050E7E"/>
    <w:rsid w:val="0005138E"/>
    <w:rsid w:val="000513F6"/>
    <w:rsid w:val="00053365"/>
    <w:rsid w:val="0005444E"/>
    <w:rsid w:val="00055119"/>
    <w:rsid w:val="000567C0"/>
    <w:rsid w:val="00057B60"/>
    <w:rsid w:val="00057EB7"/>
    <w:rsid w:val="00060555"/>
    <w:rsid w:val="000606BA"/>
    <w:rsid w:val="00061719"/>
    <w:rsid w:val="000630F0"/>
    <w:rsid w:val="000638E9"/>
    <w:rsid w:val="00064598"/>
    <w:rsid w:val="00064BD9"/>
    <w:rsid w:val="00066014"/>
    <w:rsid w:val="0006661B"/>
    <w:rsid w:val="000667E3"/>
    <w:rsid w:val="00066F44"/>
    <w:rsid w:val="00067710"/>
    <w:rsid w:val="0007234C"/>
    <w:rsid w:val="000723FD"/>
    <w:rsid w:val="00072CC5"/>
    <w:rsid w:val="000730E4"/>
    <w:rsid w:val="000742E5"/>
    <w:rsid w:val="000748E8"/>
    <w:rsid w:val="00075419"/>
    <w:rsid w:val="00075C2D"/>
    <w:rsid w:val="0007653E"/>
    <w:rsid w:val="00077162"/>
    <w:rsid w:val="000771C6"/>
    <w:rsid w:val="0007732E"/>
    <w:rsid w:val="00077C4D"/>
    <w:rsid w:val="00080147"/>
    <w:rsid w:val="000804F1"/>
    <w:rsid w:val="000807AB"/>
    <w:rsid w:val="00080984"/>
    <w:rsid w:val="00083C8C"/>
    <w:rsid w:val="00084DA9"/>
    <w:rsid w:val="00085A17"/>
    <w:rsid w:val="00085B0E"/>
    <w:rsid w:val="0008627B"/>
    <w:rsid w:val="00086450"/>
    <w:rsid w:val="000868D8"/>
    <w:rsid w:val="00090169"/>
    <w:rsid w:val="00090870"/>
    <w:rsid w:val="00091C2F"/>
    <w:rsid w:val="00092360"/>
    <w:rsid w:val="00092B8E"/>
    <w:rsid w:val="00095646"/>
    <w:rsid w:val="00095E2F"/>
    <w:rsid w:val="000964CF"/>
    <w:rsid w:val="000A0A0B"/>
    <w:rsid w:val="000A11E4"/>
    <w:rsid w:val="000A29B3"/>
    <w:rsid w:val="000A3B8D"/>
    <w:rsid w:val="000A4291"/>
    <w:rsid w:val="000A4376"/>
    <w:rsid w:val="000A465A"/>
    <w:rsid w:val="000A47CB"/>
    <w:rsid w:val="000A4CB1"/>
    <w:rsid w:val="000A5A0D"/>
    <w:rsid w:val="000A6F35"/>
    <w:rsid w:val="000A7696"/>
    <w:rsid w:val="000A7BAC"/>
    <w:rsid w:val="000B0BD2"/>
    <w:rsid w:val="000B0C0F"/>
    <w:rsid w:val="000B10CF"/>
    <w:rsid w:val="000B1257"/>
    <w:rsid w:val="000B2510"/>
    <w:rsid w:val="000B2CBE"/>
    <w:rsid w:val="000B355C"/>
    <w:rsid w:val="000B3CD0"/>
    <w:rsid w:val="000B4730"/>
    <w:rsid w:val="000B49BD"/>
    <w:rsid w:val="000B4B74"/>
    <w:rsid w:val="000B68EF"/>
    <w:rsid w:val="000B7384"/>
    <w:rsid w:val="000B7B64"/>
    <w:rsid w:val="000B7F40"/>
    <w:rsid w:val="000C0050"/>
    <w:rsid w:val="000C0C20"/>
    <w:rsid w:val="000C28AB"/>
    <w:rsid w:val="000C4044"/>
    <w:rsid w:val="000C50ED"/>
    <w:rsid w:val="000C5FD6"/>
    <w:rsid w:val="000C6139"/>
    <w:rsid w:val="000C632E"/>
    <w:rsid w:val="000D08F8"/>
    <w:rsid w:val="000D166D"/>
    <w:rsid w:val="000D2636"/>
    <w:rsid w:val="000D26A9"/>
    <w:rsid w:val="000D319A"/>
    <w:rsid w:val="000D34B8"/>
    <w:rsid w:val="000D3711"/>
    <w:rsid w:val="000D401A"/>
    <w:rsid w:val="000D73D1"/>
    <w:rsid w:val="000E1446"/>
    <w:rsid w:val="000E409B"/>
    <w:rsid w:val="000E45D3"/>
    <w:rsid w:val="000E559E"/>
    <w:rsid w:val="000E6480"/>
    <w:rsid w:val="000E6FE3"/>
    <w:rsid w:val="000E70AF"/>
    <w:rsid w:val="000E7243"/>
    <w:rsid w:val="000E7726"/>
    <w:rsid w:val="000E79C7"/>
    <w:rsid w:val="000F0C57"/>
    <w:rsid w:val="000F15A8"/>
    <w:rsid w:val="000F18DA"/>
    <w:rsid w:val="000F1C4E"/>
    <w:rsid w:val="000F219D"/>
    <w:rsid w:val="000F36E4"/>
    <w:rsid w:val="000F4D92"/>
    <w:rsid w:val="000F602B"/>
    <w:rsid w:val="000F6FC6"/>
    <w:rsid w:val="000F78EC"/>
    <w:rsid w:val="000F7F6A"/>
    <w:rsid w:val="00100621"/>
    <w:rsid w:val="00101003"/>
    <w:rsid w:val="00103749"/>
    <w:rsid w:val="0010486A"/>
    <w:rsid w:val="00105408"/>
    <w:rsid w:val="001056D6"/>
    <w:rsid w:val="001059EF"/>
    <w:rsid w:val="00105FCA"/>
    <w:rsid w:val="00107A0C"/>
    <w:rsid w:val="00111B58"/>
    <w:rsid w:val="00113164"/>
    <w:rsid w:val="0011444E"/>
    <w:rsid w:val="00114AD2"/>
    <w:rsid w:val="00114E81"/>
    <w:rsid w:val="00115665"/>
    <w:rsid w:val="001161B2"/>
    <w:rsid w:val="0011659D"/>
    <w:rsid w:val="001169F7"/>
    <w:rsid w:val="00117AD7"/>
    <w:rsid w:val="0012034E"/>
    <w:rsid w:val="0012202A"/>
    <w:rsid w:val="001221A2"/>
    <w:rsid w:val="00122CC2"/>
    <w:rsid w:val="00123A40"/>
    <w:rsid w:val="00124F8F"/>
    <w:rsid w:val="00125281"/>
    <w:rsid w:val="001263A3"/>
    <w:rsid w:val="00126865"/>
    <w:rsid w:val="001274C3"/>
    <w:rsid w:val="00127ABD"/>
    <w:rsid w:val="00127FB7"/>
    <w:rsid w:val="00130B29"/>
    <w:rsid w:val="001327FF"/>
    <w:rsid w:val="001356E0"/>
    <w:rsid w:val="00135C24"/>
    <w:rsid w:val="00136205"/>
    <w:rsid w:val="0013698F"/>
    <w:rsid w:val="00136B46"/>
    <w:rsid w:val="001409D9"/>
    <w:rsid w:val="001429FA"/>
    <w:rsid w:val="001455A6"/>
    <w:rsid w:val="00146EA1"/>
    <w:rsid w:val="001477A3"/>
    <w:rsid w:val="00147E3F"/>
    <w:rsid w:val="00151A9F"/>
    <w:rsid w:val="00151E45"/>
    <w:rsid w:val="001558FC"/>
    <w:rsid w:val="00155F0A"/>
    <w:rsid w:val="001567B9"/>
    <w:rsid w:val="00156E3F"/>
    <w:rsid w:val="00157B95"/>
    <w:rsid w:val="00157C12"/>
    <w:rsid w:val="00157E0D"/>
    <w:rsid w:val="0016016F"/>
    <w:rsid w:val="00160864"/>
    <w:rsid w:val="00161438"/>
    <w:rsid w:val="00161741"/>
    <w:rsid w:val="00161CD5"/>
    <w:rsid w:val="001622A2"/>
    <w:rsid w:val="00162EF7"/>
    <w:rsid w:val="001641E3"/>
    <w:rsid w:val="00165045"/>
    <w:rsid w:val="00165F1B"/>
    <w:rsid w:val="0016659B"/>
    <w:rsid w:val="0016680C"/>
    <w:rsid w:val="00166D3F"/>
    <w:rsid w:val="001671FE"/>
    <w:rsid w:val="00167A8E"/>
    <w:rsid w:val="00172629"/>
    <w:rsid w:val="001727BF"/>
    <w:rsid w:val="00172E97"/>
    <w:rsid w:val="0017349E"/>
    <w:rsid w:val="00174B99"/>
    <w:rsid w:val="00175CD2"/>
    <w:rsid w:val="00176131"/>
    <w:rsid w:val="001762E1"/>
    <w:rsid w:val="0017693E"/>
    <w:rsid w:val="00180AB8"/>
    <w:rsid w:val="001816FA"/>
    <w:rsid w:val="0018298B"/>
    <w:rsid w:val="00183266"/>
    <w:rsid w:val="001866E8"/>
    <w:rsid w:val="00186DD2"/>
    <w:rsid w:val="001872EF"/>
    <w:rsid w:val="00192546"/>
    <w:rsid w:val="00194694"/>
    <w:rsid w:val="001951E4"/>
    <w:rsid w:val="00195530"/>
    <w:rsid w:val="00196B11"/>
    <w:rsid w:val="00197C9F"/>
    <w:rsid w:val="00197E52"/>
    <w:rsid w:val="001A04E1"/>
    <w:rsid w:val="001A059E"/>
    <w:rsid w:val="001A0608"/>
    <w:rsid w:val="001A1FC6"/>
    <w:rsid w:val="001A2628"/>
    <w:rsid w:val="001A2D08"/>
    <w:rsid w:val="001A363D"/>
    <w:rsid w:val="001A36F3"/>
    <w:rsid w:val="001A3F78"/>
    <w:rsid w:val="001A42E6"/>
    <w:rsid w:val="001A4321"/>
    <w:rsid w:val="001A543C"/>
    <w:rsid w:val="001A68BC"/>
    <w:rsid w:val="001A7BB9"/>
    <w:rsid w:val="001B04C4"/>
    <w:rsid w:val="001B0D5A"/>
    <w:rsid w:val="001B228A"/>
    <w:rsid w:val="001B2B86"/>
    <w:rsid w:val="001B2EC8"/>
    <w:rsid w:val="001B35E4"/>
    <w:rsid w:val="001B38F1"/>
    <w:rsid w:val="001B3F42"/>
    <w:rsid w:val="001B4B40"/>
    <w:rsid w:val="001B54B3"/>
    <w:rsid w:val="001B5D32"/>
    <w:rsid w:val="001C0DAE"/>
    <w:rsid w:val="001C0FA8"/>
    <w:rsid w:val="001C0FC3"/>
    <w:rsid w:val="001C126B"/>
    <w:rsid w:val="001C3217"/>
    <w:rsid w:val="001C525E"/>
    <w:rsid w:val="001C58D6"/>
    <w:rsid w:val="001C68E3"/>
    <w:rsid w:val="001C7203"/>
    <w:rsid w:val="001D0030"/>
    <w:rsid w:val="001D074A"/>
    <w:rsid w:val="001D22AA"/>
    <w:rsid w:val="001D3052"/>
    <w:rsid w:val="001D470E"/>
    <w:rsid w:val="001D4A7A"/>
    <w:rsid w:val="001D4B0D"/>
    <w:rsid w:val="001D7176"/>
    <w:rsid w:val="001E0D8E"/>
    <w:rsid w:val="001E0E28"/>
    <w:rsid w:val="001E3005"/>
    <w:rsid w:val="001E458D"/>
    <w:rsid w:val="001E47DD"/>
    <w:rsid w:val="001E4A00"/>
    <w:rsid w:val="001E526E"/>
    <w:rsid w:val="001E52F0"/>
    <w:rsid w:val="001E5748"/>
    <w:rsid w:val="001E576A"/>
    <w:rsid w:val="001F0AB9"/>
    <w:rsid w:val="001F11FC"/>
    <w:rsid w:val="001F19C9"/>
    <w:rsid w:val="001F1D70"/>
    <w:rsid w:val="001F207B"/>
    <w:rsid w:val="001F20CB"/>
    <w:rsid w:val="001F20EE"/>
    <w:rsid w:val="001F407B"/>
    <w:rsid w:val="001F4CA0"/>
    <w:rsid w:val="001F57E6"/>
    <w:rsid w:val="001F693C"/>
    <w:rsid w:val="001F6D7C"/>
    <w:rsid w:val="001F77E0"/>
    <w:rsid w:val="001F7D8B"/>
    <w:rsid w:val="00200D4A"/>
    <w:rsid w:val="00201953"/>
    <w:rsid w:val="00201B0D"/>
    <w:rsid w:val="00202011"/>
    <w:rsid w:val="00202A85"/>
    <w:rsid w:val="0020376E"/>
    <w:rsid w:val="00203E83"/>
    <w:rsid w:val="002058EF"/>
    <w:rsid w:val="00205DE6"/>
    <w:rsid w:val="002072C9"/>
    <w:rsid w:val="00207EE7"/>
    <w:rsid w:val="002108CF"/>
    <w:rsid w:val="00210FF1"/>
    <w:rsid w:val="00211BE1"/>
    <w:rsid w:val="00213986"/>
    <w:rsid w:val="00214058"/>
    <w:rsid w:val="002150E3"/>
    <w:rsid w:val="002155A2"/>
    <w:rsid w:val="00215F0D"/>
    <w:rsid w:val="00216650"/>
    <w:rsid w:val="0021784F"/>
    <w:rsid w:val="00220161"/>
    <w:rsid w:val="00220F7B"/>
    <w:rsid w:val="00223645"/>
    <w:rsid w:val="0022375A"/>
    <w:rsid w:val="00223BE6"/>
    <w:rsid w:val="00223C31"/>
    <w:rsid w:val="00224F94"/>
    <w:rsid w:val="00225688"/>
    <w:rsid w:val="00225BE1"/>
    <w:rsid w:val="002260D4"/>
    <w:rsid w:val="00226E79"/>
    <w:rsid w:val="002272EA"/>
    <w:rsid w:val="00230594"/>
    <w:rsid w:val="0023120D"/>
    <w:rsid w:val="002337D1"/>
    <w:rsid w:val="00234B2B"/>
    <w:rsid w:val="00234D82"/>
    <w:rsid w:val="0023517C"/>
    <w:rsid w:val="00235BF9"/>
    <w:rsid w:val="002404C9"/>
    <w:rsid w:val="0024109D"/>
    <w:rsid w:val="00241CA5"/>
    <w:rsid w:val="00242BCF"/>
    <w:rsid w:val="00242D27"/>
    <w:rsid w:val="00243CD1"/>
    <w:rsid w:val="00243E2E"/>
    <w:rsid w:val="00244131"/>
    <w:rsid w:val="00245F14"/>
    <w:rsid w:val="002466DD"/>
    <w:rsid w:val="00247177"/>
    <w:rsid w:val="00250DDE"/>
    <w:rsid w:val="00251838"/>
    <w:rsid w:val="00251C13"/>
    <w:rsid w:val="00253231"/>
    <w:rsid w:val="00254F17"/>
    <w:rsid w:val="0025667E"/>
    <w:rsid w:val="002576C9"/>
    <w:rsid w:val="00263D68"/>
    <w:rsid w:val="00264B1D"/>
    <w:rsid w:val="00265F43"/>
    <w:rsid w:val="00266CFA"/>
    <w:rsid w:val="0027027C"/>
    <w:rsid w:val="0027079C"/>
    <w:rsid w:val="00270BF0"/>
    <w:rsid w:val="00272ABC"/>
    <w:rsid w:val="00274E79"/>
    <w:rsid w:val="00274FFD"/>
    <w:rsid w:val="00275B40"/>
    <w:rsid w:val="00275D6F"/>
    <w:rsid w:val="00275E14"/>
    <w:rsid w:val="002769FD"/>
    <w:rsid w:val="002774AE"/>
    <w:rsid w:val="002774BE"/>
    <w:rsid w:val="0027791D"/>
    <w:rsid w:val="00280A74"/>
    <w:rsid w:val="00280BE3"/>
    <w:rsid w:val="00280FCD"/>
    <w:rsid w:val="002810DB"/>
    <w:rsid w:val="002812A4"/>
    <w:rsid w:val="002819C0"/>
    <w:rsid w:val="00281C0F"/>
    <w:rsid w:val="002823F6"/>
    <w:rsid w:val="0028240B"/>
    <w:rsid w:val="00282939"/>
    <w:rsid w:val="002832A1"/>
    <w:rsid w:val="00283501"/>
    <w:rsid w:val="00283506"/>
    <w:rsid w:val="0028358D"/>
    <w:rsid w:val="00284A27"/>
    <w:rsid w:val="0028542D"/>
    <w:rsid w:val="00285916"/>
    <w:rsid w:val="00285E0B"/>
    <w:rsid w:val="002865EE"/>
    <w:rsid w:val="00287672"/>
    <w:rsid w:val="00287B8B"/>
    <w:rsid w:val="00287FE5"/>
    <w:rsid w:val="00292716"/>
    <w:rsid w:val="00292C2F"/>
    <w:rsid w:val="00293D31"/>
    <w:rsid w:val="00293F8C"/>
    <w:rsid w:val="002951C5"/>
    <w:rsid w:val="002957FA"/>
    <w:rsid w:val="0029623F"/>
    <w:rsid w:val="00297CF0"/>
    <w:rsid w:val="002A22E9"/>
    <w:rsid w:val="002A26CC"/>
    <w:rsid w:val="002A428C"/>
    <w:rsid w:val="002A454D"/>
    <w:rsid w:val="002A4958"/>
    <w:rsid w:val="002A6352"/>
    <w:rsid w:val="002A77A7"/>
    <w:rsid w:val="002B0675"/>
    <w:rsid w:val="002B2B58"/>
    <w:rsid w:val="002B2FBC"/>
    <w:rsid w:val="002B327D"/>
    <w:rsid w:val="002B3B4C"/>
    <w:rsid w:val="002B3E07"/>
    <w:rsid w:val="002B408F"/>
    <w:rsid w:val="002B418E"/>
    <w:rsid w:val="002B43F7"/>
    <w:rsid w:val="002B50E5"/>
    <w:rsid w:val="002B5D3B"/>
    <w:rsid w:val="002B6094"/>
    <w:rsid w:val="002B7D1D"/>
    <w:rsid w:val="002C0BFB"/>
    <w:rsid w:val="002C1340"/>
    <w:rsid w:val="002C2240"/>
    <w:rsid w:val="002C2922"/>
    <w:rsid w:val="002C395E"/>
    <w:rsid w:val="002C3F59"/>
    <w:rsid w:val="002C4EC3"/>
    <w:rsid w:val="002C4F55"/>
    <w:rsid w:val="002C53A0"/>
    <w:rsid w:val="002C55DA"/>
    <w:rsid w:val="002C7BCA"/>
    <w:rsid w:val="002D003F"/>
    <w:rsid w:val="002D061D"/>
    <w:rsid w:val="002D1F0D"/>
    <w:rsid w:val="002D2601"/>
    <w:rsid w:val="002D3C45"/>
    <w:rsid w:val="002D468A"/>
    <w:rsid w:val="002D4705"/>
    <w:rsid w:val="002D49EE"/>
    <w:rsid w:val="002D545C"/>
    <w:rsid w:val="002D6A89"/>
    <w:rsid w:val="002D6D53"/>
    <w:rsid w:val="002D72E5"/>
    <w:rsid w:val="002D794E"/>
    <w:rsid w:val="002E07B8"/>
    <w:rsid w:val="002E0D6C"/>
    <w:rsid w:val="002E2BAC"/>
    <w:rsid w:val="002E3573"/>
    <w:rsid w:val="002E4851"/>
    <w:rsid w:val="002E52DB"/>
    <w:rsid w:val="002E67F7"/>
    <w:rsid w:val="002E7A72"/>
    <w:rsid w:val="002F0ED0"/>
    <w:rsid w:val="002F11C8"/>
    <w:rsid w:val="002F1B10"/>
    <w:rsid w:val="002F1F0A"/>
    <w:rsid w:val="002F31D7"/>
    <w:rsid w:val="002F33F6"/>
    <w:rsid w:val="002F3B77"/>
    <w:rsid w:val="002F6929"/>
    <w:rsid w:val="002F7965"/>
    <w:rsid w:val="002F7DA2"/>
    <w:rsid w:val="00301F1A"/>
    <w:rsid w:val="003050F9"/>
    <w:rsid w:val="00306342"/>
    <w:rsid w:val="0030664B"/>
    <w:rsid w:val="003066DB"/>
    <w:rsid w:val="00306A5C"/>
    <w:rsid w:val="00307F98"/>
    <w:rsid w:val="0031060F"/>
    <w:rsid w:val="0031149F"/>
    <w:rsid w:val="003122C9"/>
    <w:rsid w:val="003128A1"/>
    <w:rsid w:val="00312C44"/>
    <w:rsid w:val="003132B5"/>
    <w:rsid w:val="00313337"/>
    <w:rsid w:val="00313633"/>
    <w:rsid w:val="003138C6"/>
    <w:rsid w:val="00315A53"/>
    <w:rsid w:val="00320692"/>
    <w:rsid w:val="003208C5"/>
    <w:rsid w:val="00321B5E"/>
    <w:rsid w:val="00323322"/>
    <w:rsid w:val="00324B58"/>
    <w:rsid w:val="00324CCC"/>
    <w:rsid w:val="00326EF5"/>
    <w:rsid w:val="00327DFF"/>
    <w:rsid w:val="003316FA"/>
    <w:rsid w:val="0033235B"/>
    <w:rsid w:val="00332956"/>
    <w:rsid w:val="00333291"/>
    <w:rsid w:val="003343F6"/>
    <w:rsid w:val="0033465C"/>
    <w:rsid w:val="00335494"/>
    <w:rsid w:val="00337735"/>
    <w:rsid w:val="00337ED3"/>
    <w:rsid w:val="003404EE"/>
    <w:rsid w:val="003424CE"/>
    <w:rsid w:val="0034331C"/>
    <w:rsid w:val="00343678"/>
    <w:rsid w:val="00343B19"/>
    <w:rsid w:val="00345701"/>
    <w:rsid w:val="0034583E"/>
    <w:rsid w:val="003459C0"/>
    <w:rsid w:val="00346B11"/>
    <w:rsid w:val="00347314"/>
    <w:rsid w:val="0034750F"/>
    <w:rsid w:val="003475AD"/>
    <w:rsid w:val="0035119D"/>
    <w:rsid w:val="00352477"/>
    <w:rsid w:val="003533CA"/>
    <w:rsid w:val="0035495B"/>
    <w:rsid w:val="00356208"/>
    <w:rsid w:val="003566D4"/>
    <w:rsid w:val="00357055"/>
    <w:rsid w:val="003573D6"/>
    <w:rsid w:val="00357944"/>
    <w:rsid w:val="00360518"/>
    <w:rsid w:val="00360917"/>
    <w:rsid w:val="0036253B"/>
    <w:rsid w:val="003634DB"/>
    <w:rsid w:val="00364034"/>
    <w:rsid w:val="00365F5E"/>
    <w:rsid w:val="003713BA"/>
    <w:rsid w:val="003713E8"/>
    <w:rsid w:val="00372E0D"/>
    <w:rsid w:val="00373C53"/>
    <w:rsid w:val="00375D38"/>
    <w:rsid w:val="0038425D"/>
    <w:rsid w:val="00385DC8"/>
    <w:rsid w:val="00385F43"/>
    <w:rsid w:val="003861D9"/>
    <w:rsid w:val="00386338"/>
    <w:rsid w:val="00386948"/>
    <w:rsid w:val="00390847"/>
    <w:rsid w:val="00390BFE"/>
    <w:rsid w:val="003913BF"/>
    <w:rsid w:val="00392E81"/>
    <w:rsid w:val="00392F24"/>
    <w:rsid w:val="00396E32"/>
    <w:rsid w:val="00397783"/>
    <w:rsid w:val="003977C1"/>
    <w:rsid w:val="00397B85"/>
    <w:rsid w:val="003A0959"/>
    <w:rsid w:val="003A1338"/>
    <w:rsid w:val="003A1954"/>
    <w:rsid w:val="003A2DFB"/>
    <w:rsid w:val="003A4187"/>
    <w:rsid w:val="003A716F"/>
    <w:rsid w:val="003B06B7"/>
    <w:rsid w:val="003B08F6"/>
    <w:rsid w:val="003B2235"/>
    <w:rsid w:val="003B430C"/>
    <w:rsid w:val="003B441E"/>
    <w:rsid w:val="003B5F3E"/>
    <w:rsid w:val="003B71F3"/>
    <w:rsid w:val="003C0671"/>
    <w:rsid w:val="003C0F8D"/>
    <w:rsid w:val="003C19AD"/>
    <w:rsid w:val="003C1AC9"/>
    <w:rsid w:val="003C599E"/>
    <w:rsid w:val="003C6593"/>
    <w:rsid w:val="003C6790"/>
    <w:rsid w:val="003C6D9E"/>
    <w:rsid w:val="003C761C"/>
    <w:rsid w:val="003C77CD"/>
    <w:rsid w:val="003C7D22"/>
    <w:rsid w:val="003D0AEF"/>
    <w:rsid w:val="003D1C86"/>
    <w:rsid w:val="003D1D1E"/>
    <w:rsid w:val="003D221E"/>
    <w:rsid w:val="003D2278"/>
    <w:rsid w:val="003D2C20"/>
    <w:rsid w:val="003D30C5"/>
    <w:rsid w:val="003D38E2"/>
    <w:rsid w:val="003D4322"/>
    <w:rsid w:val="003D4C59"/>
    <w:rsid w:val="003D4EF4"/>
    <w:rsid w:val="003D51FD"/>
    <w:rsid w:val="003D54B8"/>
    <w:rsid w:val="003D70A8"/>
    <w:rsid w:val="003D7808"/>
    <w:rsid w:val="003E0C36"/>
    <w:rsid w:val="003E2C6E"/>
    <w:rsid w:val="003E3074"/>
    <w:rsid w:val="003E3530"/>
    <w:rsid w:val="003E577A"/>
    <w:rsid w:val="003E6D65"/>
    <w:rsid w:val="003E7248"/>
    <w:rsid w:val="003E7CF6"/>
    <w:rsid w:val="003F0032"/>
    <w:rsid w:val="003F08DB"/>
    <w:rsid w:val="003F10AE"/>
    <w:rsid w:val="003F15A0"/>
    <w:rsid w:val="003F172D"/>
    <w:rsid w:val="003F27E9"/>
    <w:rsid w:val="003F29AA"/>
    <w:rsid w:val="003F342A"/>
    <w:rsid w:val="003F37AF"/>
    <w:rsid w:val="003F69B4"/>
    <w:rsid w:val="003F74FC"/>
    <w:rsid w:val="004005E9"/>
    <w:rsid w:val="00400A54"/>
    <w:rsid w:val="00402CC0"/>
    <w:rsid w:val="004037C0"/>
    <w:rsid w:val="0040441E"/>
    <w:rsid w:val="0040496C"/>
    <w:rsid w:val="00405047"/>
    <w:rsid w:val="004058FC"/>
    <w:rsid w:val="0040652F"/>
    <w:rsid w:val="004065D6"/>
    <w:rsid w:val="00407749"/>
    <w:rsid w:val="004103EF"/>
    <w:rsid w:val="0041542E"/>
    <w:rsid w:val="00416397"/>
    <w:rsid w:val="00416925"/>
    <w:rsid w:val="00417496"/>
    <w:rsid w:val="00417D44"/>
    <w:rsid w:val="00417DE4"/>
    <w:rsid w:val="004202CE"/>
    <w:rsid w:val="004215BB"/>
    <w:rsid w:val="0042197B"/>
    <w:rsid w:val="00422381"/>
    <w:rsid w:val="00423178"/>
    <w:rsid w:val="004244CA"/>
    <w:rsid w:val="00425B82"/>
    <w:rsid w:val="00425EE9"/>
    <w:rsid w:val="00426626"/>
    <w:rsid w:val="0042707C"/>
    <w:rsid w:val="004270DC"/>
    <w:rsid w:val="00427E12"/>
    <w:rsid w:val="004300A7"/>
    <w:rsid w:val="00430D0D"/>
    <w:rsid w:val="00430E7D"/>
    <w:rsid w:val="0043112B"/>
    <w:rsid w:val="00431BC7"/>
    <w:rsid w:val="00432FC1"/>
    <w:rsid w:val="0043300D"/>
    <w:rsid w:val="00433305"/>
    <w:rsid w:val="0043391B"/>
    <w:rsid w:val="00433F1F"/>
    <w:rsid w:val="00434728"/>
    <w:rsid w:val="00435272"/>
    <w:rsid w:val="0043741D"/>
    <w:rsid w:val="00437680"/>
    <w:rsid w:val="004376A0"/>
    <w:rsid w:val="00440653"/>
    <w:rsid w:val="004410D8"/>
    <w:rsid w:val="0044229E"/>
    <w:rsid w:val="00442410"/>
    <w:rsid w:val="00444DED"/>
    <w:rsid w:val="00444E8D"/>
    <w:rsid w:val="004453FF"/>
    <w:rsid w:val="00445C23"/>
    <w:rsid w:val="004501D4"/>
    <w:rsid w:val="004503E6"/>
    <w:rsid w:val="00451115"/>
    <w:rsid w:val="004526E8"/>
    <w:rsid w:val="0045283D"/>
    <w:rsid w:val="004558EF"/>
    <w:rsid w:val="00456AF6"/>
    <w:rsid w:val="00460392"/>
    <w:rsid w:val="0046040D"/>
    <w:rsid w:val="0046069A"/>
    <w:rsid w:val="00460E80"/>
    <w:rsid w:val="00461AD5"/>
    <w:rsid w:val="0046367B"/>
    <w:rsid w:val="00465B3A"/>
    <w:rsid w:val="004669B2"/>
    <w:rsid w:val="0047035C"/>
    <w:rsid w:val="00471E90"/>
    <w:rsid w:val="00472446"/>
    <w:rsid w:val="00473EF4"/>
    <w:rsid w:val="00474111"/>
    <w:rsid w:val="004744BF"/>
    <w:rsid w:val="0047497D"/>
    <w:rsid w:val="00475F4B"/>
    <w:rsid w:val="00476D39"/>
    <w:rsid w:val="00476FA8"/>
    <w:rsid w:val="00477AF2"/>
    <w:rsid w:val="0048183A"/>
    <w:rsid w:val="004826A8"/>
    <w:rsid w:val="00483623"/>
    <w:rsid w:val="004857BD"/>
    <w:rsid w:val="0048599E"/>
    <w:rsid w:val="00487EC1"/>
    <w:rsid w:val="00490153"/>
    <w:rsid w:val="0049154D"/>
    <w:rsid w:val="00491E32"/>
    <w:rsid w:val="00492C71"/>
    <w:rsid w:val="00493F04"/>
    <w:rsid w:val="004947FD"/>
    <w:rsid w:val="00497D0C"/>
    <w:rsid w:val="004A0DD9"/>
    <w:rsid w:val="004A1B21"/>
    <w:rsid w:val="004A316E"/>
    <w:rsid w:val="004A3B89"/>
    <w:rsid w:val="004A40C3"/>
    <w:rsid w:val="004A6A41"/>
    <w:rsid w:val="004A7342"/>
    <w:rsid w:val="004B1E61"/>
    <w:rsid w:val="004B52EE"/>
    <w:rsid w:val="004B5F6F"/>
    <w:rsid w:val="004B6508"/>
    <w:rsid w:val="004B6DBF"/>
    <w:rsid w:val="004B737A"/>
    <w:rsid w:val="004B7A00"/>
    <w:rsid w:val="004C1354"/>
    <w:rsid w:val="004C272F"/>
    <w:rsid w:val="004C3B2E"/>
    <w:rsid w:val="004C3F05"/>
    <w:rsid w:val="004C4517"/>
    <w:rsid w:val="004C4927"/>
    <w:rsid w:val="004C5777"/>
    <w:rsid w:val="004C64B8"/>
    <w:rsid w:val="004C68A6"/>
    <w:rsid w:val="004D038D"/>
    <w:rsid w:val="004D0394"/>
    <w:rsid w:val="004D092B"/>
    <w:rsid w:val="004D100A"/>
    <w:rsid w:val="004D11CD"/>
    <w:rsid w:val="004D1618"/>
    <w:rsid w:val="004D1774"/>
    <w:rsid w:val="004D19F7"/>
    <w:rsid w:val="004D47EB"/>
    <w:rsid w:val="004D4997"/>
    <w:rsid w:val="004D4E66"/>
    <w:rsid w:val="004D5CD9"/>
    <w:rsid w:val="004D7B11"/>
    <w:rsid w:val="004E269E"/>
    <w:rsid w:val="004E2C92"/>
    <w:rsid w:val="004E3264"/>
    <w:rsid w:val="004E348E"/>
    <w:rsid w:val="004E402C"/>
    <w:rsid w:val="004E48F8"/>
    <w:rsid w:val="004E58A7"/>
    <w:rsid w:val="004E5CAB"/>
    <w:rsid w:val="004F0007"/>
    <w:rsid w:val="004F0A72"/>
    <w:rsid w:val="004F0BD4"/>
    <w:rsid w:val="004F174C"/>
    <w:rsid w:val="004F20E8"/>
    <w:rsid w:val="004F4569"/>
    <w:rsid w:val="004F758A"/>
    <w:rsid w:val="005008E4"/>
    <w:rsid w:val="00501596"/>
    <w:rsid w:val="00501EF7"/>
    <w:rsid w:val="00502996"/>
    <w:rsid w:val="005037A9"/>
    <w:rsid w:val="00503A7D"/>
    <w:rsid w:val="0050431B"/>
    <w:rsid w:val="0050604E"/>
    <w:rsid w:val="005068DC"/>
    <w:rsid w:val="00510417"/>
    <w:rsid w:val="00511C61"/>
    <w:rsid w:val="00511CBA"/>
    <w:rsid w:val="00512240"/>
    <w:rsid w:val="00514C6D"/>
    <w:rsid w:val="005159B1"/>
    <w:rsid w:val="00515D07"/>
    <w:rsid w:val="005176D0"/>
    <w:rsid w:val="00517E95"/>
    <w:rsid w:val="00520956"/>
    <w:rsid w:val="0052114D"/>
    <w:rsid w:val="005212EE"/>
    <w:rsid w:val="00523C2F"/>
    <w:rsid w:val="00523C94"/>
    <w:rsid w:val="00523E1F"/>
    <w:rsid w:val="00524B01"/>
    <w:rsid w:val="005260DF"/>
    <w:rsid w:val="0052750B"/>
    <w:rsid w:val="0053003C"/>
    <w:rsid w:val="0053046C"/>
    <w:rsid w:val="00530933"/>
    <w:rsid w:val="005312DD"/>
    <w:rsid w:val="00531981"/>
    <w:rsid w:val="00532FC4"/>
    <w:rsid w:val="00533DE6"/>
    <w:rsid w:val="00534C40"/>
    <w:rsid w:val="00535048"/>
    <w:rsid w:val="005419FF"/>
    <w:rsid w:val="00541ACE"/>
    <w:rsid w:val="00543075"/>
    <w:rsid w:val="00545E06"/>
    <w:rsid w:val="005465DC"/>
    <w:rsid w:val="0054752E"/>
    <w:rsid w:val="00550EC8"/>
    <w:rsid w:val="00551A0E"/>
    <w:rsid w:val="00551EDE"/>
    <w:rsid w:val="00551FA7"/>
    <w:rsid w:val="005523BB"/>
    <w:rsid w:val="005525E1"/>
    <w:rsid w:val="0055372C"/>
    <w:rsid w:val="00555117"/>
    <w:rsid w:val="00555657"/>
    <w:rsid w:val="0055709E"/>
    <w:rsid w:val="005573EB"/>
    <w:rsid w:val="0055786F"/>
    <w:rsid w:val="0055797A"/>
    <w:rsid w:val="00557BD2"/>
    <w:rsid w:val="005609C8"/>
    <w:rsid w:val="005609EF"/>
    <w:rsid w:val="005612E4"/>
    <w:rsid w:val="005613B5"/>
    <w:rsid w:val="005651CC"/>
    <w:rsid w:val="005654F7"/>
    <w:rsid w:val="00565503"/>
    <w:rsid w:val="00565D92"/>
    <w:rsid w:val="005703F4"/>
    <w:rsid w:val="00571C65"/>
    <w:rsid w:val="00572EE9"/>
    <w:rsid w:val="005731F7"/>
    <w:rsid w:val="005762A9"/>
    <w:rsid w:val="00576485"/>
    <w:rsid w:val="00576F53"/>
    <w:rsid w:val="005776AA"/>
    <w:rsid w:val="0057793F"/>
    <w:rsid w:val="00581ABE"/>
    <w:rsid w:val="0058212E"/>
    <w:rsid w:val="005826FC"/>
    <w:rsid w:val="00584784"/>
    <w:rsid w:val="00584B54"/>
    <w:rsid w:val="005869AB"/>
    <w:rsid w:val="00586C63"/>
    <w:rsid w:val="005908A9"/>
    <w:rsid w:val="00590D81"/>
    <w:rsid w:val="00591095"/>
    <w:rsid w:val="00592BF0"/>
    <w:rsid w:val="00593169"/>
    <w:rsid w:val="005932FC"/>
    <w:rsid w:val="00593469"/>
    <w:rsid w:val="00594A0F"/>
    <w:rsid w:val="00595484"/>
    <w:rsid w:val="00596243"/>
    <w:rsid w:val="00596B6D"/>
    <w:rsid w:val="00596F56"/>
    <w:rsid w:val="0059708D"/>
    <w:rsid w:val="0059783E"/>
    <w:rsid w:val="00597D84"/>
    <w:rsid w:val="00597F13"/>
    <w:rsid w:val="00597F56"/>
    <w:rsid w:val="005A0406"/>
    <w:rsid w:val="005A123F"/>
    <w:rsid w:val="005A177B"/>
    <w:rsid w:val="005A1E73"/>
    <w:rsid w:val="005A2718"/>
    <w:rsid w:val="005A2ADB"/>
    <w:rsid w:val="005A2CE8"/>
    <w:rsid w:val="005A329E"/>
    <w:rsid w:val="005A34E5"/>
    <w:rsid w:val="005A3545"/>
    <w:rsid w:val="005A565D"/>
    <w:rsid w:val="005A5E07"/>
    <w:rsid w:val="005A6103"/>
    <w:rsid w:val="005A6A63"/>
    <w:rsid w:val="005A6F6A"/>
    <w:rsid w:val="005A7297"/>
    <w:rsid w:val="005A7B0B"/>
    <w:rsid w:val="005A7FCA"/>
    <w:rsid w:val="005B0B16"/>
    <w:rsid w:val="005B2B60"/>
    <w:rsid w:val="005B37B2"/>
    <w:rsid w:val="005B3841"/>
    <w:rsid w:val="005B3A7C"/>
    <w:rsid w:val="005B3E67"/>
    <w:rsid w:val="005B525E"/>
    <w:rsid w:val="005B59CA"/>
    <w:rsid w:val="005C08CC"/>
    <w:rsid w:val="005C11A1"/>
    <w:rsid w:val="005C236D"/>
    <w:rsid w:val="005C2D61"/>
    <w:rsid w:val="005C38C0"/>
    <w:rsid w:val="005C6B87"/>
    <w:rsid w:val="005C7789"/>
    <w:rsid w:val="005D1A84"/>
    <w:rsid w:val="005D22AD"/>
    <w:rsid w:val="005D29EF"/>
    <w:rsid w:val="005D2A2D"/>
    <w:rsid w:val="005D3030"/>
    <w:rsid w:val="005D357D"/>
    <w:rsid w:val="005D3A09"/>
    <w:rsid w:val="005D5867"/>
    <w:rsid w:val="005D6C7C"/>
    <w:rsid w:val="005D6FB4"/>
    <w:rsid w:val="005D7432"/>
    <w:rsid w:val="005E14D9"/>
    <w:rsid w:val="005E1CEA"/>
    <w:rsid w:val="005E213E"/>
    <w:rsid w:val="005E39A2"/>
    <w:rsid w:val="005E3BAB"/>
    <w:rsid w:val="005E441B"/>
    <w:rsid w:val="005E4C95"/>
    <w:rsid w:val="005E4FA6"/>
    <w:rsid w:val="005E529C"/>
    <w:rsid w:val="005E5D88"/>
    <w:rsid w:val="005E5E1A"/>
    <w:rsid w:val="005E6958"/>
    <w:rsid w:val="005E6B4D"/>
    <w:rsid w:val="005E7FBC"/>
    <w:rsid w:val="005F0175"/>
    <w:rsid w:val="005F264E"/>
    <w:rsid w:val="005F440F"/>
    <w:rsid w:val="005F4D74"/>
    <w:rsid w:val="005F7319"/>
    <w:rsid w:val="005F73A6"/>
    <w:rsid w:val="005F75DB"/>
    <w:rsid w:val="005F7D58"/>
    <w:rsid w:val="00600CE3"/>
    <w:rsid w:val="006013DB"/>
    <w:rsid w:val="00603F77"/>
    <w:rsid w:val="00606D75"/>
    <w:rsid w:val="00607E7F"/>
    <w:rsid w:val="00610686"/>
    <w:rsid w:val="00612031"/>
    <w:rsid w:val="00613DC7"/>
    <w:rsid w:val="00615A1B"/>
    <w:rsid w:val="00616B0A"/>
    <w:rsid w:val="006171D7"/>
    <w:rsid w:val="00617DD1"/>
    <w:rsid w:val="00620D52"/>
    <w:rsid w:val="0062104C"/>
    <w:rsid w:val="00621735"/>
    <w:rsid w:val="00623009"/>
    <w:rsid w:val="0062313D"/>
    <w:rsid w:val="00623AFE"/>
    <w:rsid w:val="00625B28"/>
    <w:rsid w:val="006268E5"/>
    <w:rsid w:val="00626BAB"/>
    <w:rsid w:val="00627B0B"/>
    <w:rsid w:val="00631072"/>
    <w:rsid w:val="006319A3"/>
    <w:rsid w:val="00634C38"/>
    <w:rsid w:val="00635982"/>
    <w:rsid w:val="006366B7"/>
    <w:rsid w:val="006375CC"/>
    <w:rsid w:val="00643908"/>
    <w:rsid w:val="0064450D"/>
    <w:rsid w:val="006453CB"/>
    <w:rsid w:val="0064678B"/>
    <w:rsid w:val="00646CFD"/>
    <w:rsid w:val="00647E07"/>
    <w:rsid w:val="00653E15"/>
    <w:rsid w:val="006551C5"/>
    <w:rsid w:val="006554B4"/>
    <w:rsid w:val="00656215"/>
    <w:rsid w:val="00657E39"/>
    <w:rsid w:val="006602D9"/>
    <w:rsid w:val="006606D9"/>
    <w:rsid w:val="006608E9"/>
    <w:rsid w:val="00660DA5"/>
    <w:rsid w:val="006623E2"/>
    <w:rsid w:val="006637D5"/>
    <w:rsid w:val="006640CA"/>
    <w:rsid w:val="00667936"/>
    <w:rsid w:val="00670196"/>
    <w:rsid w:val="0067039C"/>
    <w:rsid w:val="0067041C"/>
    <w:rsid w:val="0067157E"/>
    <w:rsid w:val="00672459"/>
    <w:rsid w:val="00672789"/>
    <w:rsid w:val="00673CE6"/>
    <w:rsid w:val="00674AD3"/>
    <w:rsid w:val="0067578C"/>
    <w:rsid w:val="006768D9"/>
    <w:rsid w:val="006778B1"/>
    <w:rsid w:val="0068019D"/>
    <w:rsid w:val="006802B5"/>
    <w:rsid w:val="00680DC8"/>
    <w:rsid w:val="0068225D"/>
    <w:rsid w:val="0068344E"/>
    <w:rsid w:val="00683B12"/>
    <w:rsid w:val="006867E2"/>
    <w:rsid w:val="00691A61"/>
    <w:rsid w:val="00692194"/>
    <w:rsid w:val="00692D52"/>
    <w:rsid w:val="00694FDC"/>
    <w:rsid w:val="006952B7"/>
    <w:rsid w:val="00695820"/>
    <w:rsid w:val="006A0C6C"/>
    <w:rsid w:val="006A2D86"/>
    <w:rsid w:val="006A4AC4"/>
    <w:rsid w:val="006A4BCC"/>
    <w:rsid w:val="006A6CCB"/>
    <w:rsid w:val="006A6D81"/>
    <w:rsid w:val="006A79E7"/>
    <w:rsid w:val="006B0023"/>
    <w:rsid w:val="006B00AC"/>
    <w:rsid w:val="006B10E6"/>
    <w:rsid w:val="006B180D"/>
    <w:rsid w:val="006B36D5"/>
    <w:rsid w:val="006B4C7E"/>
    <w:rsid w:val="006B5F0E"/>
    <w:rsid w:val="006B5F24"/>
    <w:rsid w:val="006B724E"/>
    <w:rsid w:val="006B7B79"/>
    <w:rsid w:val="006B7FA8"/>
    <w:rsid w:val="006C0EFE"/>
    <w:rsid w:val="006C2063"/>
    <w:rsid w:val="006C2A45"/>
    <w:rsid w:val="006C5BD1"/>
    <w:rsid w:val="006C6D77"/>
    <w:rsid w:val="006C7E90"/>
    <w:rsid w:val="006D15CB"/>
    <w:rsid w:val="006D1F32"/>
    <w:rsid w:val="006D2D13"/>
    <w:rsid w:val="006D3690"/>
    <w:rsid w:val="006D4670"/>
    <w:rsid w:val="006D4BDA"/>
    <w:rsid w:val="006D4DE6"/>
    <w:rsid w:val="006D4F30"/>
    <w:rsid w:val="006D5229"/>
    <w:rsid w:val="006D56AD"/>
    <w:rsid w:val="006D5790"/>
    <w:rsid w:val="006D58C2"/>
    <w:rsid w:val="006D5FE7"/>
    <w:rsid w:val="006D64DB"/>
    <w:rsid w:val="006E0AD3"/>
    <w:rsid w:val="006E1159"/>
    <w:rsid w:val="006E1D6D"/>
    <w:rsid w:val="006E2247"/>
    <w:rsid w:val="006E2695"/>
    <w:rsid w:val="006E270B"/>
    <w:rsid w:val="006E346C"/>
    <w:rsid w:val="006E3480"/>
    <w:rsid w:val="006E407A"/>
    <w:rsid w:val="006E4D2B"/>
    <w:rsid w:val="006E5BB4"/>
    <w:rsid w:val="006E65B4"/>
    <w:rsid w:val="006E771B"/>
    <w:rsid w:val="006F1079"/>
    <w:rsid w:val="006F1A6F"/>
    <w:rsid w:val="006F2AB2"/>
    <w:rsid w:val="006F398C"/>
    <w:rsid w:val="006F3CB7"/>
    <w:rsid w:val="006F3F5F"/>
    <w:rsid w:val="006F4AD9"/>
    <w:rsid w:val="006F5386"/>
    <w:rsid w:val="006F53B5"/>
    <w:rsid w:val="006F5A3E"/>
    <w:rsid w:val="006F60B7"/>
    <w:rsid w:val="006F667E"/>
    <w:rsid w:val="006F7A35"/>
    <w:rsid w:val="00700ADF"/>
    <w:rsid w:val="0070118D"/>
    <w:rsid w:val="007012F7"/>
    <w:rsid w:val="00701700"/>
    <w:rsid w:val="00701E49"/>
    <w:rsid w:val="0070223E"/>
    <w:rsid w:val="00707038"/>
    <w:rsid w:val="00710011"/>
    <w:rsid w:val="007101A6"/>
    <w:rsid w:val="00711195"/>
    <w:rsid w:val="0071304D"/>
    <w:rsid w:val="0071369D"/>
    <w:rsid w:val="00714480"/>
    <w:rsid w:val="00714754"/>
    <w:rsid w:val="00715C5E"/>
    <w:rsid w:val="00716EC1"/>
    <w:rsid w:val="0071790A"/>
    <w:rsid w:val="0072155C"/>
    <w:rsid w:val="007221E7"/>
    <w:rsid w:val="007223B7"/>
    <w:rsid w:val="007227CD"/>
    <w:rsid w:val="0072529C"/>
    <w:rsid w:val="00725448"/>
    <w:rsid w:val="00725D49"/>
    <w:rsid w:val="00727BBE"/>
    <w:rsid w:val="007300FC"/>
    <w:rsid w:val="00730A3D"/>
    <w:rsid w:val="007326D7"/>
    <w:rsid w:val="0073362D"/>
    <w:rsid w:val="007336F8"/>
    <w:rsid w:val="007358FC"/>
    <w:rsid w:val="00735929"/>
    <w:rsid w:val="00735FCF"/>
    <w:rsid w:val="0073730A"/>
    <w:rsid w:val="007373F3"/>
    <w:rsid w:val="00737DED"/>
    <w:rsid w:val="00740698"/>
    <w:rsid w:val="007417B9"/>
    <w:rsid w:val="00742632"/>
    <w:rsid w:val="0074309B"/>
    <w:rsid w:val="007431CF"/>
    <w:rsid w:val="00743601"/>
    <w:rsid w:val="0074564D"/>
    <w:rsid w:val="00746104"/>
    <w:rsid w:val="00747242"/>
    <w:rsid w:val="00747D92"/>
    <w:rsid w:val="007504EB"/>
    <w:rsid w:val="00750B3B"/>
    <w:rsid w:val="00751255"/>
    <w:rsid w:val="00754018"/>
    <w:rsid w:val="00754173"/>
    <w:rsid w:val="00754EA6"/>
    <w:rsid w:val="00755AAE"/>
    <w:rsid w:val="007575B4"/>
    <w:rsid w:val="00765C20"/>
    <w:rsid w:val="00766120"/>
    <w:rsid w:val="00767162"/>
    <w:rsid w:val="00770CD0"/>
    <w:rsid w:val="00770F4D"/>
    <w:rsid w:val="0077235E"/>
    <w:rsid w:val="00773ED2"/>
    <w:rsid w:val="00774CD1"/>
    <w:rsid w:val="00775E35"/>
    <w:rsid w:val="00775F56"/>
    <w:rsid w:val="00780825"/>
    <w:rsid w:val="00780CB8"/>
    <w:rsid w:val="00780F57"/>
    <w:rsid w:val="00781B79"/>
    <w:rsid w:val="0078277A"/>
    <w:rsid w:val="0078328F"/>
    <w:rsid w:val="0078338E"/>
    <w:rsid w:val="007848B6"/>
    <w:rsid w:val="00786D9C"/>
    <w:rsid w:val="00787042"/>
    <w:rsid w:val="0078745D"/>
    <w:rsid w:val="00787731"/>
    <w:rsid w:val="00791FBF"/>
    <w:rsid w:val="0079290C"/>
    <w:rsid w:val="00792AD4"/>
    <w:rsid w:val="0079362A"/>
    <w:rsid w:val="00795849"/>
    <w:rsid w:val="00795DC5"/>
    <w:rsid w:val="0079610F"/>
    <w:rsid w:val="00796B4F"/>
    <w:rsid w:val="00797517"/>
    <w:rsid w:val="007975D6"/>
    <w:rsid w:val="007A010E"/>
    <w:rsid w:val="007A0A9B"/>
    <w:rsid w:val="007A1240"/>
    <w:rsid w:val="007A19A6"/>
    <w:rsid w:val="007A284D"/>
    <w:rsid w:val="007A2866"/>
    <w:rsid w:val="007A28BA"/>
    <w:rsid w:val="007A2A73"/>
    <w:rsid w:val="007A35A8"/>
    <w:rsid w:val="007A3684"/>
    <w:rsid w:val="007A5E28"/>
    <w:rsid w:val="007A74C8"/>
    <w:rsid w:val="007A78CC"/>
    <w:rsid w:val="007B0AFF"/>
    <w:rsid w:val="007B0E8E"/>
    <w:rsid w:val="007B1180"/>
    <w:rsid w:val="007B1A0E"/>
    <w:rsid w:val="007B1AF8"/>
    <w:rsid w:val="007B252A"/>
    <w:rsid w:val="007B27A4"/>
    <w:rsid w:val="007B55DE"/>
    <w:rsid w:val="007B5754"/>
    <w:rsid w:val="007B5D21"/>
    <w:rsid w:val="007B6FF1"/>
    <w:rsid w:val="007B7B46"/>
    <w:rsid w:val="007C0306"/>
    <w:rsid w:val="007C12B3"/>
    <w:rsid w:val="007C1495"/>
    <w:rsid w:val="007C1B69"/>
    <w:rsid w:val="007C22E0"/>
    <w:rsid w:val="007C289A"/>
    <w:rsid w:val="007C2BB2"/>
    <w:rsid w:val="007C2F41"/>
    <w:rsid w:val="007C2FA9"/>
    <w:rsid w:val="007C3CFF"/>
    <w:rsid w:val="007C3E2F"/>
    <w:rsid w:val="007C6084"/>
    <w:rsid w:val="007D1530"/>
    <w:rsid w:val="007D1BC9"/>
    <w:rsid w:val="007D330C"/>
    <w:rsid w:val="007D48C5"/>
    <w:rsid w:val="007D4EC2"/>
    <w:rsid w:val="007D630D"/>
    <w:rsid w:val="007D66E6"/>
    <w:rsid w:val="007D69C9"/>
    <w:rsid w:val="007D6F93"/>
    <w:rsid w:val="007D706E"/>
    <w:rsid w:val="007D70A4"/>
    <w:rsid w:val="007D790F"/>
    <w:rsid w:val="007E0052"/>
    <w:rsid w:val="007E0243"/>
    <w:rsid w:val="007E133D"/>
    <w:rsid w:val="007E1653"/>
    <w:rsid w:val="007E1DA3"/>
    <w:rsid w:val="007E2A02"/>
    <w:rsid w:val="007E367A"/>
    <w:rsid w:val="007E66E2"/>
    <w:rsid w:val="007E6E1A"/>
    <w:rsid w:val="007E6E2A"/>
    <w:rsid w:val="007F140A"/>
    <w:rsid w:val="007F190F"/>
    <w:rsid w:val="007F1B7A"/>
    <w:rsid w:val="007F1CDD"/>
    <w:rsid w:val="007F26A9"/>
    <w:rsid w:val="007F29E6"/>
    <w:rsid w:val="007F5EBA"/>
    <w:rsid w:val="007F7A77"/>
    <w:rsid w:val="00800128"/>
    <w:rsid w:val="00800F57"/>
    <w:rsid w:val="0080165E"/>
    <w:rsid w:val="0080277D"/>
    <w:rsid w:val="00803385"/>
    <w:rsid w:val="00803989"/>
    <w:rsid w:val="008043FE"/>
    <w:rsid w:val="00804E31"/>
    <w:rsid w:val="00804EF0"/>
    <w:rsid w:val="008052FD"/>
    <w:rsid w:val="00805602"/>
    <w:rsid w:val="008062D9"/>
    <w:rsid w:val="00807856"/>
    <w:rsid w:val="00807F36"/>
    <w:rsid w:val="008131A4"/>
    <w:rsid w:val="008152E2"/>
    <w:rsid w:val="00815398"/>
    <w:rsid w:val="00815618"/>
    <w:rsid w:val="0081743B"/>
    <w:rsid w:val="00821105"/>
    <w:rsid w:val="008239F2"/>
    <w:rsid w:val="00824331"/>
    <w:rsid w:val="008250A5"/>
    <w:rsid w:val="00825EBD"/>
    <w:rsid w:val="00826588"/>
    <w:rsid w:val="00826645"/>
    <w:rsid w:val="00827160"/>
    <w:rsid w:val="00830057"/>
    <w:rsid w:val="00831640"/>
    <w:rsid w:val="008317E8"/>
    <w:rsid w:val="00831AF6"/>
    <w:rsid w:val="00832189"/>
    <w:rsid w:val="008334F4"/>
    <w:rsid w:val="008341E6"/>
    <w:rsid w:val="008349E2"/>
    <w:rsid w:val="00835531"/>
    <w:rsid w:val="0083561B"/>
    <w:rsid w:val="00836384"/>
    <w:rsid w:val="008364AC"/>
    <w:rsid w:val="00840DC0"/>
    <w:rsid w:val="00841A67"/>
    <w:rsid w:val="00842545"/>
    <w:rsid w:val="00842A99"/>
    <w:rsid w:val="0084351F"/>
    <w:rsid w:val="00843F39"/>
    <w:rsid w:val="00844CF7"/>
    <w:rsid w:val="00844D93"/>
    <w:rsid w:val="00844DC4"/>
    <w:rsid w:val="008453ED"/>
    <w:rsid w:val="00845CFF"/>
    <w:rsid w:val="0084652F"/>
    <w:rsid w:val="008474FE"/>
    <w:rsid w:val="00847700"/>
    <w:rsid w:val="008502B1"/>
    <w:rsid w:val="00850576"/>
    <w:rsid w:val="00850DAD"/>
    <w:rsid w:val="00851D1B"/>
    <w:rsid w:val="00855B3C"/>
    <w:rsid w:val="008561B8"/>
    <w:rsid w:val="00857015"/>
    <w:rsid w:val="00862BB5"/>
    <w:rsid w:val="00862D5A"/>
    <w:rsid w:val="0086381D"/>
    <w:rsid w:val="00863FE6"/>
    <w:rsid w:val="00864850"/>
    <w:rsid w:val="00864B1B"/>
    <w:rsid w:val="00865053"/>
    <w:rsid w:val="00865992"/>
    <w:rsid w:val="0086632A"/>
    <w:rsid w:val="00866977"/>
    <w:rsid w:val="00866A0F"/>
    <w:rsid w:val="00866C3D"/>
    <w:rsid w:val="00867A25"/>
    <w:rsid w:val="008739A0"/>
    <w:rsid w:val="00873C2F"/>
    <w:rsid w:val="00874A2C"/>
    <w:rsid w:val="00874D04"/>
    <w:rsid w:val="00875554"/>
    <w:rsid w:val="00876D15"/>
    <w:rsid w:val="00876D50"/>
    <w:rsid w:val="00880FE7"/>
    <w:rsid w:val="00881A1C"/>
    <w:rsid w:val="00881C2B"/>
    <w:rsid w:val="008836E9"/>
    <w:rsid w:val="0088387A"/>
    <w:rsid w:val="00883A1E"/>
    <w:rsid w:val="00883EFC"/>
    <w:rsid w:val="00884AC8"/>
    <w:rsid w:val="00885DAD"/>
    <w:rsid w:val="0089008F"/>
    <w:rsid w:val="00890541"/>
    <w:rsid w:val="0089284C"/>
    <w:rsid w:val="008936A5"/>
    <w:rsid w:val="00895926"/>
    <w:rsid w:val="00895950"/>
    <w:rsid w:val="00896D6D"/>
    <w:rsid w:val="00897254"/>
    <w:rsid w:val="00897421"/>
    <w:rsid w:val="00897794"/>
    <w:rsid w:val="008A1582"/>
    <w:rsid w:val="008A27F7"/>
    <w:rsid w:val="008A3949"/>
    <w:rsid w:val="008A4133"/>
    <w:rsid w:val="008A46E7"/>
    <w:rsid w:val="008A494A"/>
    <w:rsid w:val="008A4DBF"/>
    <w:rsid w:val="008A5EC9"/>
    <w:rsid w:val="008A67FC"/>
    <w:rsid w:val="008A6BD9"/>
    <w:rsid w:val="008B052F"/>
    <w:rsid w:val="008B0EE5"/>
    <w:rsid w:val="008B17C8"/>
    <w:rsid w:val="008B189C"/>
    <w:rsid w:val="008B402A"/>
    <w:rsid w:val="008B4506"/>
    <w:rsid w:val="008B4ACF"/>
    <w:rsid w:val="008B4DAD"/>
    <w:rsid w:val="008B5FB4"/>
    <w:rsid w:val="008B7554"/>
    <w:rsid w:val="008C01DD"/>
    <w:rsid w:val="008C1674"/>
    <w:rsid w:val="008C18D9"/>
    <w:rsid w:val="008C1936"/>
    <w:rsid w:val="008C1C06"/>
    <w:rsid w:val="008C2A8F"/>
    <w:rsid w:val="008C37A9"/>
    <w:rsid w:val="008C4E2C"/>
    <w:rsid w:val="008C5BC5"/>
    <w:rsid w:val="008C5E53"/>
    <w:rsid w:val="008C68FF"/>
    <w:rsid w:val="008C713B"/>
    <w:rsid w:val="008C7D02"/>
    <w:rsid w:val="008D0998"/>
    <w:rsid w:val="008D1A76"/>
    <w:rsid w:val="008D1A8E"/>
    <w:rsid w:val="008D284E"/>
    <w:rsid w:val="008D2BC6"/>
    <w:rsid w:val="008D3737"/>
    <w:rsid w:val="008D3A2B"/>
    <w:rsid w:val="008D3A93"/>
    <w:rsid w:val="008D52C9"/>
    <w:rsid w:val="008D66CB"/>
    <w:rsid w:val="008D72D8"/>
    <w:rsid w:val="008D757C"/>
    <w:rsid w:val="008E1433"/>
    <w:rsid w:val="008E1889"/>
    <w:rsid w:val="008E214F"/>
    <w:rsid w:val="008E222F"/>
    <w:rsid w:val="008E2714"/>
    <w:rsid w:val="008E3327"/>
    <w:rsid w:val="008E3F9D"/>
    <w:rsid w:val="008E6B5A"/>
    <w:rsid w:val="008E6D5A"/>
    <w:rsid w:val="008F1C3C"/>
    <w:rsid w:val="008F1E12"/>
    <w:rsid w:val="008F2E28"/>
    <w:rsid w:val="008F3760"/>
    <w:rsid w:val="008F56BB"/>
    <w:rsid w:val="008F5834"/>
    <w:rsid w:val="008F595B"/>
    <w:rsid w:val="00901471"/>
    <w:rsid w:val="00902837"/>
    <w:rsid w:val="009039B6"/>
    <w:rsid w:val="00903E75"/>
    <w:rsid w:val="009059C7"/>
    <w:rsid w:val="00905FDE"/>
    <w:rsid w:val="0091180D"/>
    <w:rsid w:val="00911C44"/>
    <w:rsid w:val="009128A5"/>
    <w:rsid w:val="00912F3F"/>
    <w:rsid w:val="00912F90"/>
    <w:rsid w:val="00913105"/>
    <w:rsid w:val="00913598"/>
    <w:rsid w:val="00913B3E"/>
    <w:rsid w:val="00913F49"/>
    <w:rsid w:val="0091541B"/>
    <w:rsid w:val="00915EB3"/>
    <w:rsid w:val="009168DD"/>
    <w:rsid w:val="009172D2"/>
    <w:rsid w:val="00917681"/>
    <w:rsid w:val="00921454"/>
    <w:rsid w:val="0092163C"/>
    <w:rsid w:val="00921A5F"/>
    <w:rsid w:val="00921DDE"/>
    <w:rsid w:val="00922080"/>
    <w:rsid w:val="00923A29"/>
    <w:rsid w:val="00923BD4"/>
    <w:rsid w:val="00923F93"/>
    <w:rsid w:val="009257C5"/>
    <w:rsid w:val="00927B9C"/>
    <w:rsid w:val="00930587"/>
    <w:rsid w:val="0093062F"/>
    <w:rsid w:val="00931691"/>
    <w:rsid w:val="00931824"/>
    <w:rsid w:val="00931BE7"/>
    <w:rsid w:val="00931EB2"/>
    <w:rsid w:val="009321C3"/>
    <w:rsid w:val="00932A2F"/>
    <w:rsid w:val="00933BEB"/>
    <w:rsid w:val="00933C89"/>
    <w:rsid w:val="00934028"/>
    <w:rsid w:val="00934318"/>
    <w:rsid w:val="00934B3F"/>
    <w:rsid w:val="00934FF4"/>
    <w:rsid w:val="009368AC"/>
    <w:rsid w:val="0093744B"/>
    <w:rsid w:val="009374D8"/>
    <w:rsid w:val="0094073A"/>
    <w:rsid w:val="009435EC"/>
    <w:rsid w:val="00943EB6"/>
    <w:rsid w:val="00943EBE"/>
    <w:rsid w:val="0094412E"/>
    <w:rsid w:val="009441C3"/>
    <w:rsid w:val="00945547"/>
    <w:rsid w:val="00946DB1"/>
    <w:rsid w:val="00947389"/>
    <w:rsid w:val="009479B1"/>
    <w:rsid w:val="0095090D"/>
    <w:rsid w:val="0095292A"/>
    <w:rsid w:val="00952CEE"/>
    <w:rsid w:val="00953254"/>
    <w:rsid w:val="00954B3E"/>
    <w:rsid w:val="00954F1A"/>
    <w:rsid w:val="00954F90"/>
    <w:rsid w:val="00955DC5"/>
    <w:rsid w:val="0095620B"/>
    <w:rsid w:val="009564BA"/>
    <w:rsid w:val="009566BB"/>
    <w:rsid w:val="0095686F"/>
    <w:rsid w:val="00957420"/>
    <w:rsid w:val="00957CB0"/>
    <w:rsid w:val="0096061E"/>
    <w:rsid w:val="00961330"/>
    <w:rsid w:val="00961F90"/>
    <w:rsid w:val="00962019"/>
    <w:rsid w:val="009644C1"/>
    <w:rsid w:val="009650DE"/>
    <w:rsid w:val="00965390"/>
    <w:rsid w:val="0096576B"/>
    <w:rsid w:val="009664AA"/>
    <w:rsid w:val="0096667F"/>
    <w:rsid w:val="00967381"/>
    <w:rsid w:val="009709CB"/>
    <w:rsid w:val="0097186C"/>
    <w:rsid w:val="0097278A"/>
    <w:rsid w:val="00973838"/>
    <w:rsid w:val="00974C39"/>
    <w:rsid w:val="00974E10"/>
    <w:rsid w:val="00975B59"/>
    <w:rsid w:val="00975CF9"/>
    <w:rsid w:val="00976FAD"/>
    <w:rsid w:val="00977051"/>
    <w:rsid w:val="00980451"/>
    <w:rsid w:val="00980593"/>
    <w:rsid w:val="00981BA7"/>
    <w:rsid w:val="00981ED0"/>
    <w:rsid w:val="00985758"/>
    <w:rsid w:val="009857D0"/>
    <w:rsid w:val="00985A9F"/>
    <w:rsid w:val="00985C4C"/>
    <w:rsid w:val="00985CAB"/>
    <w:rsid w:val="00985F7D"/>
    <w:rsid w:val="00986F5C"/>
    <w:rsid w:val="0099001D"/>
    <w:rsid w:val="00992072"/>
    <w:rsid w:val="009926C4"/>
    <w:rsid w:val="0099317E"/>
    <w:rsid w:val="0099449C"/>
    <w:rsid w:val="00994F71"/>
    <w:rsid w:val="00995026"/>
    <w:rsid w:val="00995065"/>
    <w:rsid w:val="0099582D"/>
    <w:rsid w:val="00996027"/>
    <w:rsid w:val="009975BD"/>
    <w:rsid w:val="009976BB"/>
    <w:rsid w:val="009A01F2"/>
    <w:rsid w:val="009A19AA"/>
    <w:rsid w:val="009A3DC8"/>
    <w:rsid w:val="009A3E57"/>
    <w:rsid w:val="009A3E98"/>
    <w:rsid w:val="009A5F01"/>
    <w:rsid w:val="009A79F2"/>
    <w:rsid w:val="009B00EF"/>
    <w:rsid w:val="009B111D"/>
    <w:rsid w:val="009B165C"/>
    <w:rsid w:val="009B2A20"/>
    <w:rsid w:val="009B2DDD"/>
    <w:rsid w:val="009B369F"/>
    <w:rsid w:val="009B5A23"/>
    <w:rsid w:val="009B6621"/>
    <w:rsid w:val="009B74FD"/>
    <w:rsid w:val="009C332D"/>
    <w:rsid w:val="009C6BDE"/>
    <w:rsid w:val="009C6C97"/>
    <w:rsid w:val="009C6D2B"/>
    <w:rsid w:val="009C7471"/>
    <w:rsid w:val="009C7742"/>
    <w:rsid w:val="009D2594"/>
    <w:rsid w:val="009D7331"/>
    <w:rsid w:val="009D7757"/>
    <w:rsid w:val="009D7AD0"/>
    <w:rsid w:val="009E046A"/>
    <w:rsid w:val="009E2094"/>
    <w:rsid w:val="009E2A80"/>
    <w:rsid w:val="009E3240"/>
    <w:rsid w:val="009E4409"/>
    <w:rsid w:val="009E596E"/>
    <w:rsid w:val="009E7A2C"/>
    <w:rsid w:val="009E7DE3"/>
    <w:rsid w:val="009F1399"/>
    <w:rsid w:val="009F1E12"/>
    <w:rsid w:val="009F20C7"/>
    <w:rsid w:val="009F32AA"/>
    <w:rsid w:val="009F36F9"/>
    <w:rsid w:val="009F3B7A"/>
    <w:rsid w:val="009F4871"/>
    <w:rsid w:val="009F4E07"/>
    <w:rsid w:val="009F60EF"/>
    <w:rsid w:val="009F7FEF"/>
    <w:rsid w:val="00A006C9"/>
    <w:rsid w:val="00A0092E"/>
    <w:rsid w:val="00A027A5"/>
    <w:rsid w:val="00A03197"/>
    <w:rsid w:val="00A0385C"/>
    <w:rsid w:val="00A04C8F"/>
    <w:rsid w:val="00A06FBD"/>
    <w:rsid w:val="00A07A9D"/>
    <w:rsid w:val="00A10B43"/>
    <w:rsid w:val="00A12B19"/>
    <w:rsid w:val="00A143A6"/>
    <w:rsid w:val="00A15152"/>
    <w:rsid w:val="00A158CE"/>
    <w:rsid w:val="00A1679E"/>
    <w:rsid w:val="00A169F7"/>
    <w:rsid w:val="00A20AB2"/>
    <w:rsid w:val="00A21005"/>
    <w:rsid w:val="00A21325"/>
    <w:rsid w:val="00A223FE"/>
    <w:rsid w:val="00A22BC1"/>
    <w:rsid w:val="00A23121"/>
    <w:rsid w:val="00A24F77"/>
    <w:rsid w:val="00A25E9B"/>
    <w:rsid w:val="00A269B1"/>
    <w:rsid w:val="00A302A2"/>
    <w:rsid w:val="00A302F5"/>
    <w:rsid w:val="00A31206"/>
    <w:rsid w:val="00A317F7"/>
    <w:rsid w:val="00A32238"/>
    <w:rsid w:val="00A325FC"/>
    <w:rsid w:val="00A3547E"/>
    <w:rsid w:val="00A35D9E"/>
    <w:rsid w:val="00A3628E"/>
    <w:rsid w:val="00A36B76"/>
    <w:rsid w:val="00A37E93"/>
    <w:rsid w:val="00A4031D"/>
    <w:rsid w:val="00A40A05"/>
    <w:rsid w:val="00A41E26"/>
    <w:rsid w:val="00A421A6"/>
    <w:rsid w:val="00A421E4"/>
    <w:rsid w:val="00A42A20"/>
    <w:rsid w:val="00A42B1F"/>
    <w:rsid w:val="00A438BF"/>
    <w:rsid w:val="00A44ED3"/>
    <w:rsid w:val="00A51E62"/>
    <w:rsid w:val="00A545AD"/>
    <w:rsid w:val="00A55821"/>
    <w:rsid w:val="00A56BC2"/>
    <w:rsid w:val="00A6097B"/>
    <w:rsid w:val="00A60B7D"/>
    <w:rsid w:val="00A622C5"/>
    <w:rsid w:val="00A624E8"/>
    <w:rsid w:val="00A636EA"/>
    <w:rsid w:val="00A63A20"/>
    <w:rsid w:val="00A647CB"/>
    <w:rsid w:val="00A64B15"/>
    <w:rsid w:val="00A6589E"/>
    <w:rsid w:val="00A669CB"/>
    <w:rsid w:val="00A70022"/>
    <w:rsid w:val="00A70C68"/>
    <w:rsid w:val="00A71323"/>
    <w:rsid w:val="00A719C1"/>
    <w:rsid w:val="00A72895"/>
    <w:rsid w:val="00A729BE"/>
    <w:rsid w:val="00A73227"/>
    <w:rsid w:val="00A73B4C"/>
    <w:rsid w:val="00A73C3B"/>
    <w:rsid w:val="00A745AF"/>
    <w:rsid w:val="00A76509"/>
    <w:rsid w:val="00A765C6"/>
    <w:rsid w:val="00A7688C"/>
    <w:rsid w:val="00A7731C"/>
    <w:rsid w:val="00A773FE"/>
    <w:rsid w:val="00A813B0"/>
    <w:rsid w:val="00A81C27"/>
    <w:rsid w:val="00A82FC0"/>
    <w:rsid w:val="00A837EF"/>
    <w:rsid w:val="00A83C7D"/>
    <w:rsid w:val="00A869EE"/>
    <w:rsid w:val="00A86E98"/>
    <w:rsid w:val="00A90B88"/>
    <w:rsid w:val="00A92960"/>
    <w:rsid w:val="00A95D09"/>
    <w:rsid w:val="00A96355"/>
    <w:rsid w:val="00A96F73"/>
    <w:rsid w:val="00AA010F"/>
    <w:rsid w:val="00AA0A18"/>
    <w:rsid w:val="00AA32FC"/>
    <w:rsid w:val="00AA36E2"/>
    <w:rsid w:val="00AB0827"/>
    <w:rsid w:val="00AB095D"/>
    <w:rsid w:val="00AB0E9E"/>
    <w:rsid w:val="00AB1B07"/>
    <w:rsid w:val="00AB2609"/>
    <w:rsid w:val="00AB34EF"/>
    <w:rsid w:val="00AB38DB"/>
    <w:rsid w:val="00AB49F3"/>
    <w:rsid w:val="00AB5209"/>
    <w:rsid w:val="00AB521A"/>
    <w:rsid w:val="00AB55B2"/>
    <w:rsid w:val="00AB5CA2"/>
    <w:rsid w:val="00AB7120"/>
    <w:rsid w:val="00AB7593"/>
    <w:rsid w:val="00AC015E"/>
    <w:rsid w:val="00AC0512"/>
    <w:rsid w:val="00AC38CB"/>
    <w:rsid w:val="00AC4BA4"/>
    <w:rsid w:val="00AC5433"/>
    <w:rsid w:val="00AC543E"/>
    <w:rsid w:val="00AC5AFD"/>
    <w:rsid w:val="00AC669F"/>
    <w:rsid w:val="00AC6F4E"/>
    <w:rsid w:val="00AC71EE"/>
    <w:rsid w:val="00AC7794"/>
    <w:rsid w:val="00AD064B"/>
    <w:rsid w:val="00AD0881"/>
    <w:rsid w:val="00AD10B6"/>
    <w:rsid w:val="00AD3235"/>
    <w:rsid w:val="00AD49B1"/>
    <w:rsid w:val="00AD5A1C"/>
    <w:rsid w:val="00AD7840"/>
    <w:rsid w:val="00AE06DA"/>
    <w:rsid w:val="00AE20BF"/>
    <w:rsid w:val="00AE3328"/>
    <w:rsid w:val="00AE4A75"/>
    <w:rsid w:val="00AE6D0F"/>
    <w:rsid w:val="00AE737E"/>
    <w:rsid w:val="00AE7635"/>
    <w:rsid w:val="00AE775B"/>
    <w:rsid w:val="00AE7843"/>
    <w:rsid w:val="00AE7ECA"/>
    <w:rsid w:val="00AF0A40"/>
    <w:rsid w:val="00AF0AFE"/>
    <w:rsid w:val="00AF10CB"/>
    <w:rsid w:val="00AF2974"/>
    <w:rsid w:val="00AF2FAF"/>
    <w:rsid w:val="00AF3773"/>
    <w:rsid w:val="00AF4185"/>
    <w:rsid w:val="00AF4C00"/>
    <w:rsid w:val="00AF5EB0"/>
    <w:rsid w:val="00B002D7"/>
    <w:rsid w:val="00B00C7A"/>
    <w:rsid w:val="00B01A78"/>
    <w:rsid w:val="00B01EA2"/>
    <w:rsid w:val="00B026AC"/>
    <w:rsid w:val="00B02D03"/>
    <w:rsid w:val="00B040E8"/>
    <w:rsid w:val="00B04566"/>
    <w:rsid w:val="00B0617C"/>
    <w:rsid w:val="00B07098"/>
    <w:rsid w:val="00B07232"/>
    <w:rsid w:val="00B0743B"/>
    <w:rsid w:val="00B10E9D"/>
    <w:rsid w:val="00B1126A"/>
    <w:rsid w:val="00B11438"/>
    <w:rsid w:val="00B114F9"/>
    <w:rsid w:val="00B11795"/>
    <w:rsid w:val="00B122AB"/>
    <w:rsid w:val="00B12B1D"/>
    <w:rsid w:val="00B12F85"/>
    <w:rsid w:val="00B14E18"/>
    <w:rsid w:val="00B151E8"/>
    <w:rsid w:val="00B15F95"/>
    <w:rsid w:val="00B16079"/>
    <w:rsid w:val="00B16625"/>
    <w:rsid w:val="00B168FB"/>
    <w:rsid w:val="00B17F7E"/>
    <w:rsid w:val="00B21717"/>
    <w:rsid w:val="00B21CB1"/>
    <w:rsid w:val="00B21CFB"/>
    <w:rsid w:val="00B21F15"/>
    <w:rsid w:val="00B21F55"/>
    <w:rsid w:val="00B22C99"/>
    <w:rsid w:val="00B24B73"/>
    <w:rsid w:val="00B2500D"/>
    <w:rsid w:val="00B257E4"/>
    <w:rsid w:val="00B25E9A"/>
    <w:rsid w:val="00B30D6B"/>
    <w:rsid w:val="00B32A53"/>
    <w:rsid w:val="00B334C6"/>
    <w:rsid w:val="00B35458"/>
    <w:rsid w:val="00B35977"/>
    <w:rsid w:val="00B35A15"/>
    <w:rsid w:val="00B35E4D"/>
    <w:rsid w:val="00B37469"/>
    <w:rsid w:val="00B379D2"/>
    <w:rsid w:val="00B37D14"/>
    <w:rsid w:val="00B40CEA"/>
    <w:rsid w:val="00B414DD"/>
    <w:rsid w:val="00B4215A"/>
    <w:rsid w:val="00B4263C"/>
    <w:rsid w:val="00B42FB7"/>
    <w:rsid w:val="00B43531"/>
    <w:rsid w:val="00B45E84"/>
    <w:rsid w:val="00B46BFC"/>
    <w:rsid w:val="00B5183D"/>
    <w:rsid w:val="00B52728"/>
    <w:rsid w:val="00B52AF0"/>
    <w:rsid w:val="00B5314C"/>
    <w:rsid w:val="00B57353"/>
    <w:rsid w:val="00B60459"/>
    <w:rsid w:val="00B60FDC"/>
    <w:rsid w:val="00B61A74"/>
    <w:rsid w:val="00B61F13"/>
    <w:rsid w:val="00B620D3"/>
    <w:rsid w:val="00B6330B"/>
    <w:rsid w:val="00B63E3F"/>
    <w:rsid w:val="00B63EBE"/>
    <w:rsid w:val="00B65F07"/>
    <w:rsid w:val="00B66C36"/>
    <w:rsid w:val="00B70418"/>
    <w:rsid w:val="00B710C1"/>
    <w:rsid w:val="00B71155"/>
    <w:rsid w:val="00B71FB3"/>
    <w:rsid w:val="00B724B6"/>
    <w:rsid w:val="00B72AA5"/>
    <w:rsid w:val="00B735C4"/>
    <w:rsid w:val="00B748FF"/>
    <w:rsid w:val="00B75079"/>
    <w:rsid w:val="00B752F8"/>
    <w:rsid w:val="00B75E5D"/>
    <w:rsid w:val="00B76168"/>
    <w:rsid w:val="00B7629F"/>
    <w:rsid w:val="00B81508"/>
    <w:rsid w:val="00B81B30"/>
    <w:rsid w:val="00B822F7"/>
    <w:rsid w:val="00B830A9"/>
    <w:rsid w:val="00B83B47"/>
    <w:rsid w:val="00B84B9B"/>
    <w:rsid w:val="00B856A9"/>
    <w:rsid w:val="00B85B44"/>
    <w:rsid w:val="00B909B3"/>
    <w:rsid w:val="00B90F13"/>
    <w:rsid w:val="00B910C9"/>
    <w:rsid w:val="00B9158B"/>
    <w:rsid w:val="00B91F7F"/>
    <w:rsid w:val="00B9366A"/>
    <w:rsid w:val="00B94DCB"/>
    <w:rsid w:val="00B954CF"/>
    <w:rsid w:val="00B95B53"/>
    <w:rsid w:val="00B95CB4"/>
    <w:rsid w:val="00B96B2C"/>
    <w:rsid w:val="00BA0D74"/>
    <w:rsid w:val="00BA4830"/>
    <w:rsid w:val="00BA60AE"/>
    <w:rsid w:val="00BA62C8"/>
    <w:rsid w:val="00BA6C7E"/>
    <w:rsid w:val="00BA7A51"/>
    <w:rsid w:val="00BB0C71"/>
    <w:rsid w:val="00BB2430"/>
    <w:rsid w:val="00BB299A"/>
    <w:rsid w:val="00BB3191"/>
    <w:rsid w:val="00BB3BCE"/>
    <w:rsid w:val="00BB6E13"/>
    <w:rsid w:val="00BB7B12"/>
    <w:rsid w:val="00BC0117"/>
    <w:rsid w:val="00BC0CA6"/>
    <w:rsid w:val="00BC0E0D"/>
    <w:rsid w:val="00BC1528"/>
    <w:rsid w:val="00BC1751"/>
    <w:rsid w:val="00BC1960"/>
    <w:rsid w:val="00BC2280"/>
    <w:rsid w:val="00BC34E5"/>
    <w:rsid w:val="00BC3BA7"/>
    <w:rsid w:val="00BC51B5"/>
    <w:rsid w:val="00BD1101"/>
    <w:rsid w:val="00BD134C"/>
    <w:rsid w:val="00BD178E"/>
    <w:rsid w:val="00BD35F9"/>
    <w:rsid w:val="00BD392A"/>
    <w:rsid w:val="00BD50B0"/>
    <w:rsid w:val="00BD54D5"/>
    <w:rsid w:val="00BD58C2"/>
    <w:rsid w:val="00BE0158"/>
    <w:rsid w:val="00BE0CB0"/>
    <w:rsid w:val="00BE1414"/>
    <w:rsid w:val="00BE3F23"/>
    <w:rsid w:val="00BE5037"/>
    <w:rsid w:val="00BE6FBC"/>
    <w:rsid w:val="00BE7867"/>
    <w:rsid w:val="00BE78C6"/>
    <w:rsid w:val="00BE7ABB"/>
    <w:rsid w:val="00BF17E9"/>
    <w:rsid w:val="00BF3579"/>
    <w:rsid w:val="00BF58DD"/>
    <w:rsid w:val="00BF66F3"/>
    <w:rsid w:val="00BF76A9"/>
    <w:rsid w:val="00C002FF"/>
    <w:rsid w:val="00C00CFC"/>
    <w:rsid w:val="00C01A5F"/>
    <w:rsid w:val="00C01BE8"/>
    <w:rsid w:val="00C0286E"/>
    <w:rsid w:val="00C02A62"/>
    <w:rsid w:val="00C035A5"/>
    <w:rsid w:val="00C0451B"/>
    <w:rsid w:val="00C05099"/>
    <w:rsid w:val="00C0549D"/>
    <w:rsid w:val="00C0610F"/>
    <w:rsid w:val="00C06222"/>
    <w:rsid w:val="00C0708C"/>
    <w:rsid w:val="00C071A1"/>
    <w:rsid w:val="00C10EB2"/>
    <w:rsid w:val="00C12AA9"/>
    <w:rsid w:val="00C139C3"/>
    <w:rsid w:val="00C150CA"/>
    <w:rsid w:val="00C15195"/>
    <w:rsid w:val="00C153C0"/>
    <w:rsid w:val="00C15A29"/>
    <w:rsid w:val="00C17881"/>
    <w:rsid w:val="00C20516"/>
    <w:rsid w:val="00C20665"/>
    <w:rsid w:val="00C20C81"/>
    <w:rsid w:val="00C2160D"/>
    <w:rsid w:val="00C22A5C"/>
    <w:rsid w:val="00C233F2"/>
    <w:rsid w:val="00C25D35"/>
    <w:rsid w:val="00C2699A"/>
    <w:rsid w:val="00C27692"/>
    <w:rsid w:val="00C277B6"/>
    <w:rsid w:val="00C27C1F"/>
    <w:rsid w:val="00C30688"/>
    <w:rsid w:val="00C30950"/>
    <w:rsid w:val="00C31579"/>
    <w:rsid w:val="00C31884"/>
    <w:rsid w:val="00C3284F"/>
    <w:rsid w:val="00C32E80"/>
    <w:rsid w:val="00C33CEB"/>
    <w:rsid w:val="00C35053"/>
    <w:rsid w:val="00C350FF"/>
    <w:rsid w:val="00C359D6"/>
    <w:rsid w:val="00C36429"/>
    <w:rsid w:val="00C36734"/>
    <w:rsid w:val="00C367D8"/>
    <w:rsid w:val="00C37A0A"/>
    <w:rsid w:val="00C401BC"/>
    <w:rsid w:val="00C40445"/>
    <w:rsid w:val="00C43BD6"/>
    <w:rsid w:val="00C43D81"/>
    <w:rsid w:val="00C453B4"/>
    <w:rsid w:val="00C45E9C"/>
    <w:rsid w:val="00C4642C"/>
    <w:rsid w:val="00C50209"/>
    <w:rsid w:val="00C50D15"/>
    <w:rsid w:val="00C52313"/>
    <w:rsid w:val="00C52864"/>
    <w:rsid w:val="00C52B27"/>
    <w:rsid w:val="00C5304B"/>
    <w:rsid w:val="00C53A98"/>
    <w:rsid w:val="00C53B18"/>
    <w:rsid w:val="00C54694"/>
    <w:rsid w:val="00C57A50"/>
    <w:rsid w:val="00C57C69"/>
    <w:rsid w:val="00C57CEE"/>
    <w:rsid w:val="00C57EB3"/>
    <w:rsid w:val="00C61669"/>
    <w:rsid w:val="00C61AE5"/>
    <w:rsid w:val="00C62240"/>
    <w:rsid w:val="00C62298"/>
    <w:rsid w:val="00C63E10"/>
    <w:rsid w:val="00C6698D"/>
    <w:rsid w:val="00C6763E"/>
    <w:rsid w:val="00C67CC9"/>
    <w:rsid w:val="00C70B02"/>
    <w:rsid w:val="00C7135E"/>
    <w:rsid w:val="00C719AC"/>
    <w:rsid w:val="00C732BF"/>
    <w:rsid w:val="00C739A6"/>
    <w:rsid w:val="00C74A9C"/>
    <w:rsid w:val="00C74EC8"/>
    <w:rsid w:val="00C75332"/>
    <w:rsid w:val="00C757AC"/>
    <w:rsid w:val="00C757F1"/>
    <w:rsid w:val="00C7697F"/>
    <w:rsid w:val="00C776F1"/>
    <w:rsid w:val="00C77D35"/>
    <w:rsid w:val="00C81D46"/>
    <w:rsid w:val="00C8527F"/>
    <w:rsid w:val="00C871D1"/>
    <w:rsid w:val="00C936F5"/>
    <w:rsid w:val="00C946A2"/>
    <w:rsid w:val="00C947D8"/>
    <w:rsid w:val="00C94E5E"/>
    <w:rsid w:val="00C964D6"/>
    <w:rsid w:val="00C97C05"/>
    <w:rsid w:val="00CA1566"/>
    <w:rsid w:val="00CA1581"/>
    <w:rsid w:val="00CA5929"/>
    <w:rsid w:val="00CA5DA8"/>
    <w:rsid w:val="00CA60C6"/>
    <w:rsid w:val="00CA6306"/>
    <w:rsid w:val="00CA731A"/>
    <w:rsid w:val="00CA7601"/>
    <w:rsid w:val="00CB0378"/>
    <w:rsid w:val="00CB36D2"/>
    <w:rsid w:val="00CB3B5E"/>
    <w:rsid w:val="00CB4326"/>
    <w:rsid w:val="00CB4602"/>
    <w:rsid w:val="00CB4CA5"/>
    <w:rsid w:val="00CB4E71"/>
    <w:rsid w:val="00CB5885"/>
    <w:rsid w:val="00CB5B28"/>
    <w:rsid w:val="00CB5B53"/>
    <w:rsid w:val="00CB6797"/>
    <w:rsid w:val="00CB79F7"/>
    <w:rsid w:val="00CC1809"/>
    <w:rsid w:val="00CC2075"/>
    <w:rsid w:val="00CC2261"/>
    <w:rsid w:val="00CC2328"/>
    <w:rsid w:val="00CC2443"/>
    <w:rsid w:val="00CC4B5E"/>
    <w:rsid w:val="00CC4F3C"/>
    <w:rsid w:val="00CC684A"/>
    <w:rsid w:val="00CD2749"/>
    <w:rsid w:val="00CD2A17"/>
    <w:rsid w:val="00CD3634"/>
    <w:rsid w:val="00CD384A"/>
    <w:rsid w:val="00CD39CC"/>
    <w:rsid w:val="00CD57C6"/>
    <w:rsid w:val="00CD5A58"/>
    <w:rsid w:val="00CD6EC9"/>
    <w:rsid w:val="00CD7E2A"/>
    <w:rsid w:val="00CE041C"/>
    <w:rsid w:val="00CE0903"/>
    <w:rsid w:val="00CE245E"/>
    <w:rsid w:val="00CE2743"/>
    <w:rsid w:val="00CE2B6C"/>
    <w:rsid w:val="00CE2B9E"/>
    <w:rsid w:val="00CE352D"/>
    <w:rsid w:val="00CE3A0A"/>
    <w:rsid w:val="00CE4461"/>
    <w:rsid w:val="00CE5753"/>
    <w:rsid w:val="00CE5E42"/>
    <w:rsid w:val="00CE759C"/>
    <w:rsid w:val="00CE770D"/>
    <w:rsid w:val="00CF02B4"/>
    <w:rsid w:val="00CF13B6"/>
    <w:rsid w:val="00CF157B"/>
    <w:rsid w:val="00CF3122"/>
    <w:rsid w:val="00CF3568"/>
    <w:rsid w:val="00CF4437"/>
    <w:rsid w:val="00CF478A"/>
    <w:rsid w:val="00CF4CFA"/>
    <w:rsid w:val="00CF56CF"/>
    <w:rsid w:val="00CF6604"/>
    <w:rsid w:val="00CF72AA"/>
    <w:rsid w:val="00CF769C"/>
    <w:rsid w:val="00CF7AF1"/>
    <w:rsid w:val="00D0092D"/>
    <w:rsid w:val="00D00FC2"/>
    <w:rsid w:val="00D02E0B"/>
    <w:rsid w:val="00D039A9"/>
    <w:rsid w:val="00D03DFC"/>
    <w:rsid w:val="00D04803"/>
    <w:rsid w:val="00D05F2C"/>
    <w:rsid w:val="00D06789"/>
    <w:rsid w:val="00D0687A"/>
    <w:rsid w:val="00D068BA"/>
    <w:rsid w:val="00D06C44"/>
    <w:rsid w:val="00D10D18"/>
    <w:rsid w:val="00D115DB"/>
    <w:rsid w:val="00D1227F"/>
    <w:rsid w:val="00D17481"/>
    <w:rsid w:val="00D17741"/>
    <w:rsid w:val="00D20F9B"/>
    <w:rsid w:val="00D21CCF"/>
    <w:rsid w:val="00D21E44"/>
    <w:rsid w:val="00D226EE"/>
    <w:rsid w:val="00D236C9"/>
    <w:rsid w:val="00D24123"/>
    <w:rsid w:val="00D244A6"/>
    <w:rsid w:val="00D24AF7"/>
    <w:rsid w:val="00D26F88"/>
    <w:rsid w:val="00D27503"/>
    <w:rsid w:val="00D305DF"/>
    <w:rsid w:val="00D33FFC"/>
    <w:rsid w:val="00D36307"/>
    <w:rsid w:val="00D3721A"/>
    <w:rsid w:val="00D3766F"/>
    <w:rsid w:val="00D378C5"/>
    <w:rsid w:val="00D416E6"/>
    <w:rsid w:val="00D4300D"/>
    <w:rsid w:val="00D43352"/>
    <w:rsid w:val="00D4465C"/>
    <w:rsid w:val="00D46FA0"/>
    <w:rsid w:val="00D471E8"/>
    <w:rsid w:val="00D47792"/>
    <w:rsid w:val="00D47CBC"/>
    <w:rsid w:val="00D47D90"/>
    <w:rsid w:val="00D513A7"/>
    <w:rsid w:val="00D51F93"/>
    <w:rsid w:val="00D52F10"/>
    <w:rsid w:val="00D5397D"/>
    <w:rsid w:val="00D5426C"/>
    <w:rsid w:val="00D54833"/>
    <w:rsid w:val="00D56C05"/>
    <w:rsid w:val="00D56E5C"/>
    <w:rsid w:val="00D575A4"/>
    <w:rsid w:val="00D61251"/>
    <w:rsid w:val="00D61BAC"/>
    <w:rsid w:val="00D6296E"/>
    <w:rsid w:val="00D630EB"/>
    <w:rsid w:val="00D63636"/>
    <w:rsid w:val="00D6383F"/>
    <w:rsid w:val="00D638D0"/>
    <w:rsid w:val="00D657E0"/>
    <w:rsid w:val="00D65B08"/>
    <w:rsid w:val="00D65FFB"/>
    <w:rsid w:val="00D663FF"/>
    <w:rsid w:val="00D67BFA"/>
    <w:rsid w:val="00D67CAA"/>
    <w:rsid w:val="00D70557"/>
    <w:rsid w:val="00D70C89"/>
    <w:rsid w:val="00D70D30"/>
    <w:rsid w:val="00D71CDA"/>
    <w:rsid w:val="00D72F74"/>
    <w:rsid w:val="00D743C7"/>
    <w:rsid w:val="00D752A5"/>
    <w:rsid w:val="00D7764D"/>
    <w:rsid w:val="00D77880"/>
    <w:rsid w:val="00D77EA7"/>
    <w:rsid w:val="00D8288F"/>
    <w:rsid w:val="00D83280"/>
    <w:rsid w:val="00D85395"/>
    <w:rsid w:val="00D86242"/>
    <w:rsid w:val="00D873E8"/>
    <w:rsid w:val="00D87955"/>
    <w:rsid w:val="00D87CF8"/>
    <w:rsid w:val="00D90138"/>
    <w:rsid w:val="00D91797"/>
    <w:rsid w:val="00D92382"/>
    <w:rsid w:val="00D928D1"/>
    <w:rsid w:val="00D92B2C"/>
    <w:rsid w:val="00D932DC"/>
    <w:rsid w:val="00D93B12"/>
    <w:rsid w:val="00D9479A"/>
    <w:rsid w:val="00D95368"/>
    <w:rsid w:val="00DA0834"/>
    <w:rsid w:val="00DA1AFE"/>
    <w:rsid w:val="00DA1D69"/>
    <w:rsid w:val="00DA1DE5"/>
    <w:rsid w:val="00DA28C5"/>
    <w:rsid w:val="00DA2B2E"/>
    <w:rsid w:val="00DA3870"/>
    <w:rsid w:val="00DA5F17"/>
    <w:rsid w:val="00DA66D7"/>
    <w:rsid w:val="00DA6F95"/>
    <w:rsid w:val="00DA7891"/>
    <w:rsid w:val="00DA7911"/>
    <w:rsid w:val="00DA7924"/>
    <w:rsid w:val="00DA7A66"/>
    <w:rsid w:val="00DB045C"/>
    <w:rsid w:val="00DB1217"/>
    <w:rsid w:val="00DB17CB"/>
    <w:rsid w:val="00DB1C5D"/>
    <w:rsid w:val="00DB237B"/>
    <w:rsid w:val="00DB2386"/>
    <w:rsid w:val="00DB28F5"/>
    <w:rsid w:val="00DB2A23"/>
    <w:rsid w:val="00DB37D2"/>
    <w:rsid w:val="00DB3B3B"/>
    <w:rsid w:val="00DB4AB1"/>
    <w:rsid w:val="00DB4C70"/>
    <w:rsid w:val="00DB64AD"/>
    <w:rsid w:val="00DB66E2"/>
    <w:rsid w:val="00DB67D4"/>
    <w:rsid w:val="00DC0B0B"/>
    <w:rsid w:val="00DC130A"/>
    <w:rsid w:val="00DC1C4D"/>
    <w:rsid w:val="00DC2DE3"/>
    <w:rsid w:val="00DC2E15"/>
    <w:rsid w:val="00DC6517"/>
    <w:rsid w:val="00DC737C"/>
    <w:rsid w:val="00DD0BDA"/>
    <w:rsid w:val="00DD1675"/>
    <w:rsid w:val="00DD2F50"/>
    <w:rsid w:val="00DD41A4"/>
    <w:rsid w:val="00DD624D"/>
    <w:rsid w:val="00DD6889"/>
    <w:rsid w:val="00DD6BD6"/>
    <w:rsid w:val="00DE022B"/>
    <w:rsid w:val="00DE0A3D"/>
    <w:rsid w:val="00DE2436"/>
    <w:rsid w:val="00DE34A8"/>
    <w:rsid w:val="00DE3C15"/>
    <w:rsid w:val="00DE6195"/>
    <w:rsid w:val="00DE6993"/>
    <w:rsid w:val="00DE7F45"/>
    <w:rsid w:val="00DF05DD"/>
    <w:rsid w:val="00DF0712"/>
    <w:rsid w:val="00DF1C45"/>
    <w:rsid w:val="00DF1FA7"/>
    <w:rsid w:val="00DF3344"/>
    <w:rsid w:val="00DF3D71"/>
    <w:rsid w:val="00DF3D97"/>
    <w:rsid w:val="00DF43AF"/>
    <w:rsid w:val="00DF47B6"/>
    <w:rsid w:val="00DF67CB"/>
    <w:rsid w:val="00DF72BD"/>
    <w:rsid w:val="00E00DA6"/>
    <w:rsid w:val="00E04177"/>
    <w:rsid w:val="00E04263"/>
    <w:rsid w:val="00E05D31"/>
    <w:rsid w:val="00E074B8"/>
    <w:rsid w:val="00E0780C"/>
    <w:rsid w:val="00E101E2"/>
    <w:rsid w:val="00E1140A"/>
    <w:rsid w:val="00E1208E"/>
    <w:rsid w:val="00E12609"/>
    <w:rsid w:val="00E1361E"/>
    <w:rsid w:val="00E13BF1"/>
    <w:rsid w:val="00E140F2"/>
    <w:rsid w:val="00E14A08"/>
    <w:rsid w:val="00E14F45"/>
    <w:rsid w:val="00E16DB7"/>
    <w:rsid w:val="00E17CF3"/>
    <w:rsid w:val="00E204AC"/>
    <w:rsid w:val="00E20F09"/>
    <w:rsid w:val="00E21DB3"/>
    <w:rsid w:val="00E22A5A"/>
    <w:rsid w:val="00E2408D"/>
    <w:rsid w:val="00E249BD"/>
    <w:rsid w:val="00E24B08"/>
    <w:rsid w:val="00E24C51"/>
    <w:rsid w:val="00E24D6C"/>
    <w:rsid w:val="00E26287"/>
    <w:rsid w:val="00E271A3"/>
    <w:rsid w:val="00E302B0"/>
    <w:rsid w:val="00E306FE"/>
    <w:rsid w:val="00E30DC8"/>
    <w:rsid w:val="00E31774"/>
    <w:rsid w:val="00E31F3A"/>
    <w:rsid w:val="00E33F51"/>
    <w:rsid w:val="00E34AC2"/>
    <w:rsid w:val="00E353F4"/>
    <w:rsid w:val="00E369C1"/>
    <w:rsid w:val="00E37C1C"/>
    <w:rsid w:val="00E400D3"/>
    <w:rsid w:val="00E405A1"/>
    <w:rsid w:val="00E40C14"/>
    <w:rsid w:val="00E40E81"/>
    <w:rsid w:val="00E41E48"/>
    <w:rsid w:val="00E41EE2"/>
    <w:rsid w:val="00E42975"/>
    <w:rsid w:val="00E43397"/>
    <w:rsid w:val="00E4377E"/>
    <w:rsid w:val="00E4381F"/>
    <w:rsid w:val="00E43B47"/>
    <w:rsid w:val="00E43CF7"/>
    <w:rsid w:val="00E45876"/>
    <w:rsid w:val="00E468B1"/>
    <w:rsid w:val="00E46B76"/>
    <w:rsid w:val="00E47235"/>
    <w:rsid w:val="00E517ED"/>
    <w:rsid w:val="00E51DD5"/>
    <w:rsid w:val="00E551C7"/>
    <w:rsid w:val="00E551CB"/>
    <w:rsid w:val="00E55DD6"/>
    <w:rsid w:val="00E563F9"/>
    <w:rsid w:val="00E606BA"/>
    <w:rsid w:val="00E61585"/>
    <w:rsid w:val="00E616B8"/>
    <w:rsid w:val="00E62585"/>
    <w:rsid w:val="00E6258F"/>
    <w:rsid w:val="00E6275A"/>
    <w:rsid w:val="00E62EB3"/>
    <w:rsid w:val="00E63124"/>
    <w:rsid w:val="00E63F05"/>
    <w:rsid w:val="00E64C1E"/>
    <w:rsid w:val="00E67991"/>
    <w:rsid w:val="00E70462"/>
    <w:rsid w:val="00E70548"/>
    <w:rsid w:val="00E70A88"/>
    <w:rsid w:val="00E70C2F"/>
    <w:rsid w:val="00E72287"/>
    <w:rsid w:val="00E72A0C"/>
    <w:rsid w:val="00E73142"/>
    <w:rsid w:val="00E73209"/>
    <w:rsid w:val="00E73308"/>
    <w:rsid w:val="00E7423E"/>
    <w:rsid w:val="00E74A3B"/>
    <w:rsid w:val="00E74DF3"/>
    <w:rsid w:val="00E753E7"/>
    <w:rsid w:val="00E75D00"/>
    <w:rsid w:val="00E760A6"/>
    <w:rsid w:val="00E762F8"/>
    <w:rsid w:val="00E76773"/>
    <w:rsid w:val="00E7678B"/>
    <w:rsid w:val="00E76B7A"/>
    <w:rsid w:val="00E803DA"/>
    <w:rsid w:val="00E82051"/>
    <w:rsid w:val="00E827D7"/>
    <w:rsid w:val="00E8285B"/>
    <w:rsid w:val="00E83175"/>
    <w:rsid w:val="00E83770"/>
    <w:rsid w:val="00E83BDA"/>
    <w:rsid w:val="00E83CC9"/>
    <w:rsid w:val="00E8545D"/>
    <w:rsid w:val="00E8620D"/>
    <w:rsid w:val="00E86E66"/>
    <w:rsid w:val="00E8743D"/>
    <w:rsid w:val="00E91395"/>
    <w:rsid w:val="00E918E5"/>
    <w:rsid w:val="00E9191C"/>
    <w:rsid w:val="00E91DFF"/>
    <w:rsid w:val="00E921ED"/>
    <w:rsid w:val="00E9246B"/>
    <w:rsid w:val="00E934D8"/>
    <w:rsid w:val="00E93AC3"/>
    <w:rsid w:val="00E94B50"/>
    <w:rsid w:val="00E9669A"/>
    <w:rsid w:val="00E96A55"/>
    <w:rsid w:val="00EA253F"/>
    <w:rsid w:val="00EA2CB8"/>
    <w:rsid w:val="00EA2EB7"/>
    <w:rsid w:val="00EA3ECF"/>
    <w:rsid w:val="00EA40C5"/>
    <w:rsid w:val="00EA469E"/>
    <w:rsid w:val="00EA47FF"/>
    <w:rsid w:val="00EB16B7"/>
    <w:rsid w:val="00EB207F"/>
    <w:rsid w:val="00EB3DF0"/>
    <w:rsid w:val="00EB6040"/>
    <w:rsid w:val="00EB75B7"/>
    <w:rsid w:val="00EC0A5E"/>
    <w:rsid w:val="00EC0C51"/>
    <w:rsid w:val="00EC14B1"/>
    <w:rsid w:val="00EC4BD8"/>
    <w:rsid w:val="00EC4D3B"/>
    <w:rsid w:val="00EC5486"/>
    <w:rsid w:val="00EC6330"/>
    <w:rsid w:val="00EC6385"/>
    <w:rsid w:val="00EC71C8"/>
    <w:rsid w:val="00ED18A3"/>
    <w:rsid w:val="00ED2344"/>
    <w:rsid w:val="00ED2A37"/>
    <w:rsid w:val="00ED2FFA"/>
    <w:rsid w:val="00ED4763"/>
    <w:rsid w:val="00ED57DA"/>
    <w:rsid w:val="00ED5962"/>
    <w:rsid w:val="00ED6679"/>
    <w:rsid w:val="00EE001E"/>
    <w:rsid w:val="00EE0A2A"/>
    <w:rsid w:val="00EE1510"/>
    <w:rsid w:val="00EE1D52"/>
    <w:rsid w:val="00EE21FC"/>
    <w:rsid w:val="00EE31CD"/>
    <w:rsid w:val="00EE336D"/>
    <w:rsid w:val="00EE3412"/>
    <w:rsid w:val="00EE38E0"/>
    <w:rsid w:val="00EE3A42"/>
    <w:rsid w:val="00EE3AE1"/>
    <w:rsid w:val="00EE55F8"/>
    <w:rsid w:val="00EE5718"/>
    <w:rsid w:val="00EE6C67"/>
    <w:rsid w:val="00EF071E"/>
    <w:rsid w:val="00EF1563"/>
    <w:rsid w:val="00EF195F"/>
    <w:rsid w:val="00EF36A7"/>
    <w:rsid w:val="00EF4AF8"/>
    <w:rsid w:val="00EF5742"/>
    <w:rsid w:val="00EF574D"/>
    <w:rsid w:val="00EF6B3F"/>
    <w:rsid w:val="00EF6C3A"/>
    <w:rsid w:val="00EF6F93"/>
    <w:rsid w:val="00EF70D0"/>
    <w:rsid w:val="00F01BF9"/>
    <w:rsid w:val="00F01DD8"/>
    <w:rsid w:val="00F01E5A"/>
    <w:rsid w:val="00F04C17"/>
    <w:rsid w:val="00F04C6A"/>
    <w:rsid w:val="00F067DC"/>
    <w:rsid w:val="00F07CBE"/>
    <w:rsid w:val="00F10F4E"/>
    <w:rsid w:val="00F11A43"/>
    <w:rsid w:val="00F11C58"/>
    <w:rsid w:val="00F14D5D"/>
    <w:rsid w:val="00F15A85"/>
    <w:rsid w:val="00F1632A"/>
    <w:rsid w:val="00F17942"/>
    <w:rsid w:val="00F1798F"/>
    <w:rsid w:val="00F2028C"/>
    <w:rsid w:val="00F2134F"/>
    <w:rsid w:val="00F21350"/>
    <w:rsid w:val="00F222FB"/>
    <w:rsid w:val="00F229BC"/>
    <w:rsid w:val="00F23346"/>
    <w:rsid w:val="00F2499C"/>
    <w:rsid w:val="00F24EEE"/>
    <w:rsid w:val="00F250F7"/>
    <w:rsid w:val="00F26E03"/>
    <w:rsid w:val="00F303B8"/>
    <w:rsid w:val="00F3090A"/>
    <w:rsid w:val="00F358CA"/>
    <w:rsid w:val="00F36DB2"/>
    <w:rsid w:val="00F372A3"/>
    <w:rsid w:val="00F402E8"/>
    <w:rsid w:val="00F4293D"/>
    <w:rsid w:val="00F42FAF"/>
    <w:rsid w:val="00F449A8"/>
    <w:rsid w:val="00F45577"/>
    <w:rsid w:val="00F46FBB"/>
    <w:rsid w:val="00F47370"/>
    <w:rsid w:val="00F47C1A"/>
    <w:rsid w:val="00F50922"/>
    <w:rsid w:val="00F53B95"/>
    <w:rsid w:val="00F54E01"/>
    <w:rsid w:val="00F5611F"/>
    <w:rsid w:val="00F56247"/>
    <w:rsid w:val="00F6053A"/>
    <w:rsid w:val="00F6101B"/>
    <w:rsid w:val="00F61246"/>
    <w:rsid w:val="00F64D6B"/>
    <w:rsid w:val="00F64E3B"/>
    <w:rsid w:val="00F67E68"/>
    <w:rsid w:val="00F70C30"/>
    <w:rsid w:val="00F713E0"/>
    <w:rsid w:val="00F71B95"/>
    <w:rsid w:val="00F72209"/>
    <w:rsid w:val="00F7228D"/>
    <w:rsid w:val="00F72CCB"/>
    <w:rsid w:val="00F733E6"/>
    <w:rsid w:val="00F73F66"/>
    <w:rsid w:val="00F7502D"/>
    <w:rsid w:val="00F75EA7"/>
    <w:rsid w:val="00F7609E"/>
    <w:rsid w:val="00F76EC5"/>
    <w:rsid w:val="00F809C0"/>
    <w:rsid w:val="00F82808"/>
    <w:rsid w:val="00F82C95"/>
    <w:rsid w:val="00F82FC0"/>
    <w:rsid w:val="00F83927"/>
    <w:rsid w:val="00F83AC5"/>
    <w:rsid w:val="00F83FC1"/>
    <w:rsid w:val="00F8524C"/>
    <w:rsid w:val="00F863E6"/>
    <w:rsid w:val="00F8652C"/>
    <w:rsid w:val="00F900F1"/>
    <w:rsid w:val="00F90AEF"/>
    <w:rsid w:val="00F90BC0"/>
    <w:rsid w:val="00F9105A"/>
    <w:rsid w:val="00F91143"/>
    <w:rsid w:val="00F92A3B"/>
    <w:rsid w:val="00F93674"/>
    <w:rsid w:val="00F94626"/>
    <w:rsid w:val="00F959F0"/>
    <w:rsid w:val="00F95BCC"/>
    <w:rsid w:val="00F96F81"/>
    <w:rsid w:val="00F9793E"/>
    <w:rsid w:val="00FA29FD"/>
    <w:rsid w:val="00FA3116"/>
    <w:rsid w:val="00FA373F"/>
    <w:rsid w:val="00FA4BFD"/>
    <w:rsid w:val="00FA4F29"/>
    <w:rsid w:val="00FA55F3"/>
    <w:rsid w:val="00FA5770"/>
    <w:rsid w:val="00FA70AF"/>
    <w:rsid w:val="00FA7A2A"/>
    <w:rsid w:val="00FB1ED8"/>
    <w:rsid w:val="00FB2550"/>
    <w:rsid w:val="00FB269D"/>
    <w:rsid w:val="00FB3C33"/>
    <w:rsid w:val="00FB4300"/>
    <w:rsid w:val="00FB4886"/>
    <w:rsid w:val="00FB5E94"/>
    <w:rsid w:val="00FB638D"/>
    <w:rsid w:val="00FB709D"/>
    <w:rsid w:val="00FB78D8"/>
    <w:rsid w:val="00FC0BDA"/>
    <w:rsid w:val="00FC12BE"/>
    <w:rsid w:val="00FC2065"/>
    <w:rsid w:val="00FC23A6"/>
    <w:rsid w:val="00FC413A"/>
    <w:rsid w:val="00FC5659"/>
    <w:rsid w:val="00FC745E"/>
    <w:rsid w:val="00FD087F"/>
    <w:rsid w:val="00FD0AD4"/>
    <w:rsid w:val="00FD10A2"/>
    <w:rsid w:val="00FD1790"/>
    <w:rsid w:val="00FD252D"/>
    <w:rsid w:val="00FD358C"/>
    <w:rsid w:val="00FD43C8"/>
    <w:rsid w:val="00FD4863"/>
    <w:rsid w:val="00FD4997"/>
    <w:rsid w:val="00FD580B"/>
    <w:rsid w:val="00FE1DA8"/>
    <w:rsid w:val="00FE3B18"/>
    <w:rsid w:val="00FE5066"/>
    <w:rsid w:val="00FE52AF"/>
    <w:rsid w:val="00FE5BF1"/>
    <w:rsid w:val="00FE6E86"/>
    <w:rsid w:val="00FF1753"/>
    <w:rsid w:val="00FF2195"/>
    <w:rsid w:val="00FF26BD"/>
    <w:rsid w:val="00FF284A"/>
    <w:rsid w:val="00FF5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DC2AC"/>
  <w15:docId w15:val="{1356BDAF-DD23-468B-979D-76F61E432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26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426C"/>
    <w:pPr>
      <w:ind w:left="720"/>
      <w:contextualSpacing/>
    </w:pPr>
  </w:style>
  <w:style w:type="paragraph" w:styleId="Header">
    <w:name w:val="header"/>
    <w:basedOn w:val="Normal"/>
    <w:link w:val="HeaderChar"/>
    <w:uiPriority w:val="99"/>
    <w:unhideWhenUsed/>
    <w:rsid w:val="00D5426C"/>
    <w:pPr>
      <w:tabs>
        <w:tab w:val="center" w:pos="4844"/>
        <w:tab w:val="right" w:pos="9689"/>
      </w:tabs>
    </w:pPr>
  </w:style>
  <w:style w:type="character" w:customStyle="1" w:styleId="HeaderChar">
    <w:name w:val="Header Char"/>
    <w:basedOn w:val="DefaultParagraphFont"/>
    <w:link w:val="Header"/>
    <w:uiPriority w:val="99"/>
    <w:rsid w:val="00D5426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426C"/>
    <w:pPr>
      <w:tabs>
        <w:tab w:val="center" w:pos="4844"/>
        <w:tab w:val="right" w:pos="9689"/>
      </w:tabs>
    </w:pPr>
  </w:style>
  <w:style w:type="character" w:customStyle="1" w:styleId="FooterChar">
    <w:name w:val="Footer Char"/>
    <w:basedOn w:val="DefaultParagraphFont"/>
    <w:link w:val="Footer"/>
    <w:uiPriority w:val="99"/>
    <w:rsid w:val="00D5426C"/>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D115DB"/>
    <w:rPr>
      <w:sz w:val="16"/>
      <w:szCs w:val="16"/>
    </w:rPr>
  </w:style>
  <w:style w:type="paragraph" w:styleId="CommentText">
    <w:name w:val="annotation text"/>
    <w:basedOn w:val="Normal"/>
    <w:link w:val="CommentTextChar"/>
    <w:uiPriority w:val="99"/>
    <w:unhideWhenUsed/>
    <w:rsid w:val="00D115DB"/>
    <w:rPr>
      <w:sz w:val="20"/>
      <w:szCs w:val="20"/>
    </w:rPr>
  </w:style>
  <w:style w:type="character" w:customStyle="1" w:styleId="CommentTextChar">
    <w:name w:val="Comment Text Char"/>
    <w:basedOn w:val="DefaultParagraphFont"/>
    <w:link w:val="CommentText"/>
    <w:uiPriority w:val="99"/>
    <w:rsid w:val="00D115D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115DB"/>
    <w:rPr>
      <w:b/>
      <w:bCs/>
    </w:rPr>
  </w:style>
  <w:style w:type="character" w:customStyle="1" w:styleId="CommentSubjectChar">
    <w:name w:val="Comment Subject Char"/>
    <w:basedOn w:val="CommentTextChar"/>
    <w:link w:val="CommentSubject"/>
    <w:uiPriority w:val="99"/>
    <w:semiHidden/>
    <w:rsid w:val="00D115D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115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15DB"/>
    <w:rPr>
      <w:rFonts w:ascii="Segoe UI" w:eastAsia="Times New Roman" w:hAnsi="Segoe UI" w:cs="Segoe UI"/>
      <w:sz w:val="18"/>
      <w:szCs w:val="18"/>
    </w:rPr>
  </w:style>
  <w:style w:type="paragraph" w:customStyle="1" w:styleId="rg">
    <w:name w:val="rg"/>
    <w:basedOn w:val="Normal"/>
    <w:rsid w:val="007E66E2"/>
    <w:pPr>
      <w:spacing w:before="100" w:beforeAutospacing="1" w:after="100" w:afterAutospacing="1"/>
    </w:pPr>
  </w:style>
  <w:style w:type="paragraph" w:customStyle="1" w:styleId="norm">
    <w:name w:val="norm"/>
    <w:basedOn w:val="Normal"/>
    <w:rsid w:val="00C30688"/>
    <w:pPr>
      <w:spacing w:before="100" w:beforeAutospacing="1" w:after="100" w:afterAutospacing="1"/>
    </w:pPr>
  </w:style>
  <w:style w:type="paragraph" w:customStyle="1" w:styleId="modref">
    <w:name w:val="modref"/>
    <w:basedOn w:val="Normal"/>
    <w:rsid w:val="00A20AB2"/>
    <w:pPr>
      <w:spacing w:before="100" w:beforeAutospacing="1" w:after="100" w:afterAutospacing="1"/>
    </w:pPr>
  </w:style>
  <w:style w:type="character" w:styleId="Hyperlink">
    <w:name w:val="Hyperlink"/>
    <w:basedOn w:val="DefaultParagraphFont"/>
    <w:uiPriority w:val="99"/>
    <w:unhideWhenUsed/>
    <w:rsid w:val="00A20AB2"/>
    <w:rPr>
      <w:color w:val="0000FF"/>
      <w:u w:val="single"/>
    </w:rPr>
  </w:style>
  <w:style w:type="paragraph" w:customStyle="1" w:styleId="tt">
    <w:name w:val="tt"/>
    <w:basedOn w:val="Normal"/>
    <w:rsid w:val="00AC015E"/>
    <w:pPr>
      <w:spacing w:before="100" w:beforeAutospacing="1" w:after="100" w:afterAutospacing="1"/>
    </w:pPr>
  </w:style>
  <w:style w:type="paragraph" w:customStyle="1" w:styleId="cn">
    <w:name w:val="cn"/>
    <w:basedOn w:val="Normal"/>
    <w:rsid w:val="00AC015E"/>
    <w:pPr>
      <w:spacing w:before="100" w:beforeAutospacing="1" w:after="100" w:afterAutospacing="1"/>
    </w:pPr>
  </w:style>
  <w:style w:type="paragraph" w:styleId="NormalWeb">
    <w:name w:val="Normal (Web)"/>
    <w:basedOn w:val="Normal"/>
    <w:uiPriority w:val="99"/>
    <w:semiHidden/>
    <w:unhideWhenUsed/>
    <w:rsid w:val="00AC015E"/>
    <w:pPr>
      <w:spacing w:before="100" w:beforeAutospacing="1" w:after="100" w:afterAutospacing="1"/>
    </w:pPr>
  </w:style>
  <w:style w:type="paragraph" w:customStyle="1" w:styleId="pb">
    <w:name w:val="pb"/>
    <w:basedOn w:val="Normal"/>
    <w:rsid w:val="00AC015E"/>
    <w:pPr>
      <w:spacing w:before="100" w:beforeAutospacing="1" w:after="100" w:afterAutospacing="1"/>
    </w:pPr>
  </w:style>
  <w:style w:type="paragraph" w:customStyle="1" w:styleId="Default">
    <w:name w:val="Default"/>
    <w:rsid w:val="00832189"/>
    <w:pPr>
      <w:autoSpaceDE w:val="0"/>
      <w:autoSpaceDN w:val="0"/>
      <w:adjustRightInd w:val="0"/>
      <w:spacing w:after="0" w:line="240" w:lineRule="auto"/>
    </w:pPr>
    <w:rPr>
      <w:rFonts w:ascii="Calibri" w:hAnsi="Calibri" w:cs="Calibri"/>
      <w:color w:val="000000"/>
      <w:sz w:val="24"/>
      <w:szCs w:val="24"/>
      <w:lang w:val="ro-MD"/>
    </w:rPr>
  </w:style>
  <w:style w:type="paragraph" w:styleId="Revision">
    <w:name w:val="Revision"/>
    <w:hidden/>
    <w:uiPriority w:val="99"/>
    <w:semiHidden/>
    <w:rsid w:val="00832189"/>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108CF"/>
    <w:rPr>
      <w:color w:val="605E5C"/>
      <w:shd w:val="clear" w:color="auto" w:fill="E1DFDD"/>
    </w:rPr>
  </w:style>
  <w:style w:type="character" w:styleId="FollowedHyperlink">
    <w:name w:val="FollowedHyperlink"/>
    <w:basedOn w:val="DefaultParagraphFont"/>
    <w:uiPriority w:val="99"/>
    <w:semiHidden/>
    <w:unhideWhenUsed/>
    <w:rsid w:val="007C2FA9"/>
    <w:rPr>
      <w:color w:val="954F72" w:themeColor="followedHyperlink"/>
      <w:u w:val="single"/>
    </w:rPr>
  </w:style>
  <w:style w:type="paragraph" w:customStyle="1" w:styleId="msonormal0">
    <w:name w:val="msonormal"/>
    <w:basedOn w:val="Normal"/>
    <w:rsid w:val="00BE0158"/>
    <w:pPr>
      <w:spacing w:before="100" w:beforeAutospacing="1" w:after="100" w:afterAutospacing="1"/>
    </w:pPr>
    <w:rPr>
      <w:lang w:val="ro-MD" w:eastAsia="ro-MD"/>
      <w14:ligatures w14:val="standardContextual"/>
    </w:rPr>
  </w:style>
  <w:style w:type="character" w:styleId="PlaceholderText">
    <w:name w:val="Placeholder Text"/>
    <w:basedOn w:val="DefaultParagraphFont"/>
    <w:uiPriority w:val="99"/>
    <w:semiHidden/>
    <w:rsid w:val="008453ED"/>
    <w:rPr>
      <w:color w:val="808080"/>
    </w:rPr>
  </w:style>
  <w:style w:type="character" w:customStyle="1" w:styleId="subscript">
    <w:name w:val="subscript"/>
    <w:basedOn w:val="DefaultParagraphFont"/>
    <w:rsid w:val="006F667E"/>
  </w:style>
  <w:style w:type="paragraph" w:customStyle="1" w:styleId="title-table">
    <w:name w:val="title-table"/>
    <w:basedOn w:val="Normal"/>
    <w:rsid w:val="006F667E"/>
    <w:pPr>
      <w:spacing w:before="100" w:beforeAutospacing="1" w:after="100" w:afterAutospacing="1"/>
    </w:pPr>
    <w:rPr>
      <w:lang w:val="ro-MD" w:eastAsia="ro-MD"/>
      <w14:ligatures w14:val="standardContextual"/>
    </w:rPr>
  </w:style>
  <w:style w:type="paragraph" w:customStyle="1" w:styleId="tbl-norm">
    <w:name w:val="tbl-norm"/>
    <w:basedOn w:val="Normal"/>
    <w:rsid w:val="006F667E"/>
    <w:pPr>
      <w:spacing w:before="100" w:beforeAutospacing="1" w:after="100" w:afterAutospacing="1"/>
    </w:pPr>
    <w:rPr>
      <w:lang w:val="ro-MD" w:eastAsia="ro-MD"/>
      <w14:ligatures w14:val="standardContextual"/>
    </w:rPr>
  </w:style>
  <w:style w:type="paragraph" w:customStyle="1" w:styleId="title-article-norm">
    <w:name w:val="title-article-norm"/>
    <w:basedOn w:val="Normal"/>
    <w:rsid w:val="006F667E"/>
    <w:pPr>
      <w:spacing w:before="100" w:beforeAutospacing="1" w:after="100" w:afterAutospacing="1"/>
    </w:pPr>
    <w:rPr>
      <w:lang w:val="ro-MD" w:eastAsia="ro-MD"/>
      <w14:ligatures w14:val="standardContextual"/>
    </w:rPr>
  </w:style>
  <w:style w:type="paragraph" w:customStyle="1" w:styleId="dlist-term">
    <w:name w:val="dlist-term"/>
    <w:basedOn w:val="Normal"/>
    <w:rsid w:val="006F667E"/>
    <w:pPr>
      <w:spacing w:before="100" w:beforeAutospacing="1" w:after="100" w:afterAutospacing="1"/>
    </w:pPr>
    <w:rPr>
      <w:lang w:val="ro-MD" w:eastAsia="ro-MD"/>
      <w14:ligatures w14:val="standardContextual"/>
    </w:rPr>
  </w:style>
  <w:style w:type="table" w:styleId="TableGrid">
    <w:name w:val="Table Grid"/>
    <w:basedOn w:val="TableNormal"/>
    <w:uiPriority w:val="39"/>
    <w:rsid w:val="001D4B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92608">
      <w:bodyDiv w:val="1"/>
      <w:marLeft w:val="0"/>
      <w:marRight w:val="0"/>
      <w:marTop w:val="0"/>
      <w:marBottom w:val="0"/>
      <w:divBdr>
        <w:top w:val="none" w:sz="0" w:space="0" w:color="auto"/>
        <w:left w:val="none" w:sz="0" w:space="0" w:color="auto"/>
        <w:bottom w:val="none" w:sz="0" w:space="0" w:color="auto"/>
        <w:right w:val="none" w:sz="0" w:space="0" w:color="auto"/>
      </w:divBdr>
    </w:div>
    <w:div w:id="323433464">
      <w:bodyDiv w:val="1"/>
      <w:marLeft w:val="0"/>
      <w:marRight w:val="0"/>
      <w:marTop w:val="0"/>
      <w:marBottom w:val="0"/>
      <w:divBdr>
        <w:top w:val="none" w:sz="0" w:space="0" w:color="auto"/>
        <w:left w:val="none" w:sz="0" w:space="0" w:color="auto"/>
        <w:bottom w:val="none" w:sz="0" w:space="0" w:color="auto"/>
        <w:right w:val="none" w:sz="0" w:space="0" w:color="auto"/>
      </w:divBdr>
    </w:div>
    <w:div w:id="360018081">
      <w:bodyDiv w:val="1"/>
      <w:marLeft w:val="0"/>
      <w:marRight w:val="0"/>
      <w:marTop w:val="0"/>
      <w:marBottom w:val="0"/>
      <w:divBdr>
        <w:top w:val="none" w:sz="0" w:space="0" w:color="auto"/>
        <w:left w:val="none" w:sz="0" w:space="0" w:color="auto"/>
        <w:bottom w:val="none" w:sz="0" w:space="0" w:color="auto"/>
        <w:right w:val="none" w:sz="0" w:space="0" w:color="auto"/>
      </w:divBdr>
    </w:div>
    <w:div w:id="406996366">
      <w:bodyDiv w:val="1"/>
      <w:marLeft w:val="0"/>
      <w:marRight w:val="0"/>
      <w:marTop w:val="0"/>
      <w:marBottom w:val="0"/>
      <w:divBdr>
        <w:top w:val="none" w:sz="0" w:space="0" w:color="auto"/>
        <w:left w:val="none" w:sz="0" w:space="0" w:color="auto"/>
        <w:bottom w:val="none" w:sz="0" w:space="0" w:color="auto"/>
        <w:right w:val="none" w:sz="0" w:space="0" w:color="auto"/>
      </w:divBdr>
    </w:div>
    <w:div w:id="452406995">
      <w:bodyDiv w:val="1"/>
      <w:marLeft w:val="0"/>
      <w:marRight w:val="0"/>
      <w:marTop w:val="0"/>
      <w:marBottom w:val="0"/>
      <w:divBdr>
        <w:top w:val="none" w:sz="0" w:space="0" w:color="auto"/>
        <w:left w:val="none" w:sz="0" w:space="0" w:color="auto"/>
        <w:bottom w:val="none" w:sz="0" w:space="0" w:color="auto"/>
        <w:right w:val="none" w:sz="0" w:space="0" w:color="auto"/>
      </w:divBdr>
      <w:divsChild>
        <w:div w:id="886524523">
          <w:marLeft w:val="0"/>
          <w:marRight w:val="0"/>
          <w:marTop w:val="0"/>
          <w:marBottom w:val="0"/>
          <w:divBdr>
            <w:top w:val="none" w:sz="0" w:space="0" w:color="auto"/>
            <w:left w:val="none" w:sz="0" w:space="0" w:color="auto"/>
            <w:bottom w:val="none" w:sz="0" w:space="0" w:color="auto"/>
            <w:right w:val="none" w:sz="0" w:space="0" w:color="auto"/>
          </w:divBdr>
          <w:divsChild>
            <w:div w:id="482548612">
              <w:marLeft w:val="0"/>
              <w:marRight w:val="0"/>
              <w:marTop w:val="120"/>
              <w:marBottom w:val="0"/>
              <w:divBdr>
                <w:top w:val="none" w:sz="0" w:space="0" w:color="auto"/>
                <w:left w:val="none" w:sz="0" w:space="0" w:color="auto"/>
                <w:bottom w:val="none" w:sz="0" w:space="0" w:color="auto"/>
                <w:right w:val="none" w:sz="0" w:space="0" w:color="auto"/>
              </w:divBdr>
            </w:div>
            <w:div w:id="974749616">
              <w:marLeft w:val="0"/>
              <w:marRight w:val="0"/>
              <w:marTop w:val="0"/>
              <w:marBottom w:val="0"/>
              <w:divBdr>
                <w:top w:val="none" w:sz="0" w:space="0" w:color="auto"/>
                <w:left w:val="none" w:sz="0" w:space="0" w:color="auto"/>
                <w:bottom w:val="none" w:sz="0" w:space="0" w:color="auto"/>
                <w:right w:val="none" w:sz="0" w:space="0" w:color="auto"/>
              </w:divBdr>
            </w:div>
          </w:divsChild>
        </w:div>
        <w:div w:id="1291324776">
          <w:marLeft w:val="0"/>
          <w:marRight w:val="0"/>
          <w:marTop w:val="0"/>
          <w:marBottom w:val="0"/>
          <w:divBdr>
            <w:top w:val="none" w:sz="0" w:space="0" w:color="auto"/>
            <w:left w:val="none" w:sz="0" w:space="0" w:color="auto"/>
            <w:bottom w:val="none" w:sz="0" w:space="0" w:color="auto"/>
            <w:right w:val="none" w:sz="0" w:space="0" w:color="auto"/>
          </w:divBdr>
          <w:divsChild>
            <w:div w:id="863635632">
              <w:marLeft w:val="0"/>
              <w:marRight w:val="0"/>
              <w:marTop w:val="0"/>
              <w:marBottom w:val="0"/>
              <w:divBdr>
                <w:top w:val="none" w:sz="0" w:space="0" w:color="auto"/>
                <w:left w:val="none" w:sz="0" w:space="0" w:color="auto"/>
                <w:bottom w:val="none" w:sz="0" w:space="0" w:color="auto"/>
                <w:right w:val="none" w:sz="0" w:space="0" w:color="auto"/>
              </w:divBdr>
            </w:div>
            <w:div w:id="1129739280">
              <w:marLeft w:val="0"/>
              <w:marRight w:val="0"/>
              <w:marTop w:val="120"/>
              <w:marBottom w:val="0"/>
              <w:divBdr>
                <w:top w:val="none" w:sz="0" w:space="0" w:color="auto"/>
                <w:left w:val="none" w:sz="0" w:space="0" w:color="auto"/>
                <w:bottom w:val="none" w:sz="0" w:space="0" w:color="auto"/>
                <w:right w:val="none" w:sz="0" w:space="0" w:color="auto"/>
              </w:divBdr>
            </w:div>
          </w:divsChild>
        </w:div>
        <w:div w:id="1575385894">
          <w:marLeft w:val="0"/>
          <w:marRight w:val="0"/>
          <w:marTop w:val="0"/>
          <w:marBottom w:val="0"/>
          <w:divBdr>
            <w:top w:val="none" w:sz="0" w:space="0" w:color="auto"/>
            <w:left w:val="none" w:sz="0" w:space="0" w:color="auto"/>
            <w:bottom w:val="none" w:sz="0" w:space="0" w:color="auto"/>
            <w:right w:val="none" w:sz="0" w:space="0" w:color="auto"/>
          </w:divBdr>
          <w:divsChild>
            <w:div w:id="1570925191">
              <w:marLeft w:val="0"/>
              <w:marRight w:val="0"/>
              <w:marTop w:val="120"/>
              <w:marBottom w:val="0"/>
              <w:divBdr>
                <w:top w:val="none" w:sz="0" w:space="0" w:color="auto"/>
                <w:left w:val="none" w:sz="0" w:space="0" w:color="auto"/>
                <w:bottom w:val="none" w:sz="0" w:space="0" w:color="auto"/>
                <w:right w:val="none" w:sz="0" w:space="0" w:color="auto"/>
              </w:divBdr>
            </w:div>
            <w:div w:id="174090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210516">
      <w:bodyDiv w:val="1"/>
      <w:marLeft w:val="0"/>
      <w:marRight w:val="0"/>
      <w:marTop w:val="0"/>
      <w:marBottom w:val="0"/>
      <w:divBdr>
        <w:top w:val="none" w:sz="0" w:space="0" w:color="auto"/>
        <w:left w:val="none" w:sz="0" w:space="0" w:color="auto"/>
        <w:bottom w:val="none" w:sz="0" w:space="0" w:color="auto"/>
        <w:right w:val="none" w:sz="0" w:space="0" w:color="auto"/>
      </w:divBdr>
    </w:div>
    <w:div w:id="1238899965">
      <w:bodyDiv w:val="1"/>
      <w:marLeft w:val="0"/>
      <w:marRight w:val="0"/>
      <w:marTop w:val="0"/>
      <w:marBottom w:val="0"/>
      <w:divBdr>
        <w:top w:val="none" w:sz="0" w:space="0" w:color="auto"/>
        <w:left w:val="none" w:sz="0" w:space="0" w:color="auto"/>
        <w:bottom w:val="none" w:sz="0" w:space="0" w:color="auto"/>
        <w:right w:val="none" w:sz="0" w:space="0" w:color="auto"/>
      </w:divBdr>
    </w:div>
    <w:div w:id="1295795607">
      <w:bodyDiv w:val="1"/>
      <w:marLeft w:val="0"/>
      <w:marRight w:val="0"/>
      <w:marTop w:val="0"/>
      <w:marBottom w:val="0"/>
      <w:divBdr>
        <w:top w:val="none" w:sz="0" w:space="0" w:color="auto"/>
        <w:left w:val="none" w:sz="0" w:space="0" w:color="auto"/>
        <w:bottom w:val="none" w:sz="0" w:space="0" w:color="auto"/>
        <w:right w:val="none" w:sz="0" w:space="0" w:color="auto"/>
      </w:divBdr>
      <w:divsChild>
        <w:div w:id="215774675">
          <w:marLeft w:val="0"/>
          <w:marRight w:val="0"/>
          <w:marTop w:val="0"/>
          <w:marBottom w:val="0"/>
          <w:divBdr>
            <w:top w:val="none" w:sz="0" w:space="0" w:color="auto"/>
            <w:left w:val="none" w:sz="0" w:space="0" w:color="auto"/>
            <w:bottom w:val="none" w:sz="0" w:space="0" w:color="auto"/>
            <w:right w:val="none" w:sz="0" w:space="0" w:color="auto"/>
          </w:divBdr>
          <w:divsChild>
            <w:div w:id="345983759">
              <w:marLeft w:val="0"/>
              <w:marRight w:val="0"/>
              <w:marTop w:val="0"/>
              <w:marBottom w:val="0"/>
              <w:divBdr>
                <w:top w:val="none" w:sz="0" w:space="0" w:color="auto"/>
                <w:left w:val="none" w:sz="0" w:space="0" w:color="auto"/>
                <w:bottom w:val="none" w:sz="0" w:space="0" w:color="auto"/>
                <w:right w:val="none" w:sz="0" w:space="0" w:color="auto"/>
              </w:divBdr>
            </w:div>
            <w:div w:id="1332369988">
              <w:marLeft w:val="0"/>
              <w:marRight w:val="0"/>
              <w:marTop w:val="120"/>
              <w:marBottom w:val="0"/>
              <w:divBdr>
                <w:top w:val="none" w:sz="0" w:space="0" w:color="auto"/>
                <w:left w:val="none" w:sz="0" w:space="0" w:color="auto"/>
                <w:bottom w:val="none" w:sz="0" w:space="0" w:color="auto"/>
                <w:right w:val="none" w:sz="0" w:space="0" w:color="auto"/>
              </w:divBdr>
            </w:div>
          </w:divsChild>
        </w:div>
        <w:div w:id="627928388">
          <w:marLeft w:val="0"/>
          <w:marRight w:val="0"/>
          <w:marTop w:val="0"/>
          <w:marBottom w:val="0"/>
          <w:divBdr>
            <w:top w:val="none" w:sz="0" w:space="0" w:color="auto"/>
            <w:left w:val="none" w:sz="0" w:space="0" w:color="auto"/>
            <w:bottom w:val="none" w:sz="0" w:space="0" w:color="auto"/>
            <w:right w:val="none" w:sz="0" w:space="0" w:color="auto"/>
          </w:divBdr>
          <w:divsChild>
            <w:div w:id="1707600">
              <w:marLeft w:val="0"/>
              <w:marRight w:val="0"/>
              <w:marTop w:val="120"/>
              <w:marBottom w:val="0"/>
              <w:divBdr>
                <w:top w:val="none" w:sz="0" w:space="0" w:color="auto"/>
                <w:left w:val="none" w:sz="0" w:space="0" w:color="auto"/>
                <w:bottom w:val="none" w:sz="0" w:space="0" w:color="auto"/>
                <w:right w:val="none" w:sz="0" w:space="0" w:color="auto"/>
              </w:divBdr>
            </w:div>
            <w:div w:id="792483260">
              <w:marLeft w:val="0"/>
              <w:marRight w:val="0"/>
              <w:marTop w:val="0"/>
              <w:marBottom w:val="0"/>
              <w:divBdr>
                <w:top w:val="none" w:sz="0" w:space="0" w:color="auto"/>
                <w:left w:val="none" w:sz="0" w:space="0" w:color="auto"/>
                <w:bottom w:val="none" w:sz="0" w:space="0" w:color="auto"/>
                <w:right w:val="none" w:sz="0" w:space="0" w:color="auto"/>
              </w:divBdr>
            </w:div>
          </w:divsChild>
        </w:div>
        <w:div w:id="789402849">
          <w:marLeft w:val="0"/>
          <w:marRight w:val="0"/>
          <w:marTop w:val="0"/>
          <w:marBottom w:val="0"/>
          <w:divBdr>
            <w:top w:val="none" w:sz="0" w:space="0" w:color="auto"/>
            <w:left w:val="none" w:sz="0" w:space="0" w:color="auto"/>
            <w:bottom w:val="none" w:sz="0" w:space="0" w:color="auto"/>
            <w:right w:val="none" w:sz="0" w:space="0" w:color="auto"/>
          </w:divBdr>
          <w:divsChild>
            <w:div w:id="1306859818">
              <w:marLeft w:val="0"/>
              <w:marRight w:val="0"/>
              <w:marTop w:val="120"/>
              <w:marBottom w:val="0"/>
              <w:divBdr>
                <w:top w:val="none" w:sz="0" w:space="0" w:color="auto"/>
                <w:left w:val="none" w:sz="0" w:space="0" w:color="auto"/>
                <w:bottom w:val="none" w:sz="0" w:space="0" w:color="auto"/>
                <w:right w:val="none" w:sz="0" w:space="0" w:color="auto"/>
              </w:divBdr>
            </w:div>
            <w:div w:id="2125028363">
              <w:marLeft w:val="0"/>
              <w:marRight w:val="0"/>
              <w:marTop w:val="0"/>
              <w:marBottom w:val="0"/>
              <w:divBdr>
                <w:top w:val="none" w:sz="0" w:space="0" w:color="auto"/>
                <w:left w:val="none" w:sz="0" w:space="0" w:color="auto"/>
                <w:bottom w:val="none" w:sz="0" w:space="0" w:color="auto"/>
                <w:right w:val="none" w:sz="0" w:space="0" w:color="auto"/>
              </w:divBdr>
            </w:div>
          </w:divsChild>
        </w:div>
        <w:div w:id="1205630813">
          <w:marLeft w:val="0"/>
          <w:marRight w:val="0"/>
          <w:marTop w:val="0"/>
          <w:marBottom w:val="0"/>
          <w:divBdr>
            <w:top w:val="none" w:sz="0" w:space="0" w:color="auto"/>
            <w:left w:val="none" w:sz="0" w:space="0" w:color="auto"/>
            <w:bottom w:val="none" w:sz="0" w:space="0" w:color="auto"/>
            <w:right w:val="none" w:sz="0" w:space="0" w:color="auto"/>
          </w:divBdr>
          <w:divsChild>
            <w:div w:id="937640139">
              <w:marLeft w:val="0"/>
              <w:marRight w:val="0"/>
              <w:marTop w:val="0"/>
              <w:marBottom w:val="0"/>
              <w:divBdr>
                <w:top w:val="none" w:sz="0" w:space="0" w:color="auto"/>
                <w:left w:val="none" w:sz="0" w:space="0" w:color="auto"/>
                <w:bottom w:val="none" w:sz="0" w:space="0" w:color="auto"/>
                <w:right w:val="none" w:sz="0" w:space="0" w:color="auto"/>
              </w:divBdr>
            </w:div>
            <w:div w:id="1857423672">
              <w:marLeft w:val="0"/>
              <w:marRight w:val="0"/>
              <w:marTop w:val="120"/>
              <w:marBottom w:val="0"/>
              <w:divBdr>
                <w:top w:val="none" w:sz="0" w:space="0" w:color="auto"/>
                <w:left w:val="none" w:sz="0" w:space="0" w:color="auto"/>
                <w:bottom w:val="none" w:sz="0" w:space="0" w:color="auto"/>
                <w:right w:val="none" w:sz="0" w:space="0" w:color="auto"/>
              </w:divBdr>
            </w:div>
          </w:divsChild>
        </w:div>
        <w:div w:id="1436899710">
          <w:marLeft w:val="0"/>
          <w:marRight w:val="0"/>
          <w:marTop w:val="0"/>
          <w:marBottom w:val="0"/>
          <w:divBdr>
            <w:top w:val="none" w:sz="0" w:space="0" w:color="auto"/>
            <w:left w:val="none" w:sz="0" w:space="0" w:color="auto"/>
            <w:bottom w:val="none" w:sz="0" w:space="0" w:color="auto"/>
            <w:right w:val="none" w:sz="0" w:space="0" w:color="auto"/>
          </w:divBdr>
          <w:divsChild>
            <w:div w:id="823668434">
              <w:marLeft w:val="0"/>
              <w:marRight w:val="0"/>
              <w:marTop w:val="0"/>
              <w:marBottom w:val="0"/>
              <w:divBdr>
                <w:top w:val="none" w:sz="0" w:space="0" w:color="auto"/>
                <w:left w:val="none" w:sz="0" w:space="0" w:color="auto"/>
                <w:bottom w:val="none" w:sz="0" w:space="0" w:color="auto"/>
                <w:right w:val="none" w:sz="0" w:space="0" w:color="auto"/>
              </w:divBdr>
            </w:div>
            <w:div w:id="18312093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51320508">
      <w:bodyDiv w:val="1"/>
      <w:marLeft w:val="0"/>
      <w:marRight w:val="0"/>
      <w:marTop w:val="0"/>
      <w:marBottom w:val="0"/>
      <w:divBdr>
        <w:top w:val="none" w:sz="0" w:space="0" w:color="auto"/>
        <w:left w:val="none" w:sz="0" w:space="0" w:color="auto"/>
        <w:bottom w:val="none" w:sz="0" w:space="0" w:color="auto"/>
        <w:right w:val="none" w:sz="0" w:space="0" w:color="auto"/>
      </w:divBdr>
    </w:div>
    <w:div w:id="15226284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8.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b897e66-8555-453e-a498-d234c2d9a514">
      <UserInfo>
        <DisplayName>Ludmila V. Andrusceac</DisplayName>
        <AccountId>25</AccountId>
        <AccountType/>
      </UserInfo>
      <UserInfo>
        <DisplayName>Stela E. Cibotari</DisplayName>
        <AccountId>19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CC8FD9FC602D47942046F00E7457D2" ma:contentTypeVersion="2" ma:contentTypeDescription="Create a new document." ma:contentTypeScope="" ma:versionID="3edab2dab2c3387671edca4397bcec72">
  <xsd:schema xmlns:xsd="http://www.w3.org/2001/XMLSchema" xmlns:xs="http://www.w3.org/2001/XMLSchema" xmlns:p="http://schemas.microsoft.com/office/2006/metadata/properties" xmlns:ns2="ab897e66-8555-453e-a498-d234c2d9a514" targetNamespace="http://schemas.microsoft.com/office/2006/metadata/properties" ma:root="true" ma:fieldsID="89625898adbe3814e28d4b00f82f36bf" ns2:_="">
    <xsd:import namespace="ab897e66-8555-453e-a498-d234c2d9a51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97e66-8555-453e-a498-d234c2d9a5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itus xmlns="http://schemas.titus.com/TitusProperties/">
  <TitusGUID xmlns="">fb7d9dae-0167-49d7-864f-68b392b7c860</TitusGUID>
  <TitusMetadata xmlns="">eyJucyI6IioiLCJwcm9wcyI6W3sibiI6IkNsYXNpZmljYXJlIiwidmFscyI6W3sidmFsdWUiOiJOT05FIn1dfV19</TitusMetadata>
</titus>
</file>

<file path=customXml/itemProps1.xml><?xml version="1.0" encoding="utf-8"?>
<ds:datastoreItem xmlns:ds="http://schemas.openxmlformats.org/officeDocument/2006/customXml" ds:itemID="{DACF8A35-54B4-4A6F-AD8B-B7547FF46A20}">
  <ds:schemaRefs>
    <ds:schemaRef ds:uri="http://schemas.microsoft.com/office/2006/metadata/properties"/>
    <ds:schemaRef ds:uri="http://schemas.microsoft.com/office/infopath/2007/PartnerControls"/>
    <ds:schemaRef ds:uri="ab897e66-8555-453e-a498-d234c2d9a514"/>
  </ds:schemaRefs>
</ds:datastoreItem>
</file>

<file path=customXml/itemProps2.xml><?xml version="1.0" encoding="utf-8"?>
<ds:datastoreItem xmlns:ds="http://schemas.openxmlformats.org/officeDocument/2006/customXml" ds:itemID="{C4B69A69-586D-4F4B-866D-F992B43875AC}">
  <ds:schemaRefs>
    <ds:schemaRef ds:uri="http://schemas.microsoft.com/sharepoint/v3/contenttype/forms"/>
  </ds:schemaRefs>
</ds:datastoreItem>
</file>

<file path=customXml/itemProps3.xml><?xml version="1.0" encoding="utf-8"?>
<ds:datastoreItem xmlns:ds="http://schemas.openxmlformats.org/officeDocument/2006/customXml" ds:itemID="{C9C253D8-13C1-4E18-8B2B-F7FF4F84A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97e66-8555-453e-a498-d234c2d9a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75928B-B1D8-460D-8D87-8509828469A3}">
  <ds:schemaRefs>
    <ds:schemaRef ds:uri="http://schemas.openxmlformats.org/officeDocument/2006/bibliography"/>
  </ds:schemaRefs>
</ds:datastoreItem>
</file>

<file path=customXml/itemProps5.xml><?xml version="1.0" encoding="utf-8"?>
<ds:datastoreItem xmlns:ds="http://schemas.openxmlformats.org/officeDocument/2006/customXml" ds:itemID="{F1F42337-4177-4711-A623-26D912CD93E1}">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10587</Words>
  <Characters>80362</Characters>
  <Application>Microsoft Office Word</Application>
  <DocSecurity>0</DocSecurity>
  <Lines>8036</Lines>
  <Paragraphs>2598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BNM</dc:creator>
  <cp:lastModifiedBy>Ion V. Nicorici</cp:lastModifiedBy>
  <cp:revision>2</cp:revision>
  <cp:lastPrinted>2026-06-26T11:38:00Z</cp:lastPrinted>
  <dcterms:created xsi:type="dcterms:W3CDTF">2026-06-26T11:40:00Z</dcterms:created>
  <dcterms:modified xsi:type="dcterms:W3CDTF">2026-06-26T11:40:00Z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fb7d9dae-0167-49d7-864f-68b392b7c860</vt:lpwstr>
  </property>
  <property fmtid="{D5CDD505-2E9C-101B-9397-08002B2CF9AE}" pid="3" name="ContentTypeId">
    <vt:lpwstr>0x01010041CC8FD9FC602D47942046F00E7457D2</vt:lpwstr>
  </property>
  <property fmtid="{D5CDD505-2E9C-101B-9397-08002B2CF9AE}" pid="4" name="Clasificare">
    <vt:lpwstr>NONE</vt:lpwstr>
  </property>
  <property fmtid="{D5CDD505-2E9C-101B-9397-08002B2CF9AE}" pid="5" name="MSIP_Label_38962dcf-d39f-4edc-a396-338a56ba9170_Enabled">
    <vt:lpwstr>true</vt:lpwstr>
  </property>
  <property fmtid="{D5CDD505-2E9C-101B-9397-08002B2CF9AE}" pid="6" name="MSIP_Label_38962dcf-d39f-4edc-a396-338a56ba9170_SetDate">
    <vt:lpwstr>2025-04-28T19:19:10Z</vt:lpwstr>
  </property>
  <property fmtid="{D5CDD505-2E9C-101B-9397-08002B2CF9AE}" pid="7" name="MSIP_Label_38962dcf-d39f-4edc-a396-338a56ba9170_Method">
    <vt:lpwstr>Privileged</vt:lpwstr>
  </property>
  <property fmtid="{D5CDD505-2E9C-101B-9397-08002B2CF9AE}" pid="8" name="MSIP_Label_38962dcf-d39f-4edc-a396-338a56ba9170_Name">
    <vt:lpwstr>NONE</vt:lpwstr>
  </property>
  <property fmtid="{D5CDD505-2E9C-101B-9397-08002B2CF9AE}" pid="9" name="MSIP_Label_38962dcf-d39f-4edc-a396-338a56ba9170_SiteId">
    <vt:lpwstr>5887d430-0034-4561-b771-12c77faf2fa0</vt:lpwstr>
  </property>
  <property fmtid="{D5CDD505-2E9C-101B-9397-08002B2CF9AE}" pid="10" name="MSIP_Label_38962dcf-d39f-4edc-a396-338a56ba9170_ActionId">
    <vt:lpwstr>61c21c8d-dfee-4b85-9c5c-0906cc7a9473</vt:lpwstr>
  </property>
  <property fmtid="{D5CDD505-2E9C-101B-9397-08002B2CF9AE}" pid="11" name="MSIP_Label_38962dcf-d39f-4edc-a396-338a56ba9170_ContentBits">
    <vt:lpwstr>0</vt:lpwstr>
  </property>
</Properties>
</file>